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spacing w:after="0" w:line="560" w:lineRule="exact"/>
        <w:ind w:left="0"/>
        <w:rPr>
          <w:rFonts w:ascii="黑体" w:hAnsi="黑体" w:eastAsia="黑体"/>
          <w:sz w:val="32"/>
          <w:szCs w:val="32"/>
        </w:rPr>
      </w:pPr>
      <w:bookmarkStart w:id="0" w:name="OLE_LINK5"/>
      <w:bookmarkStart w:id="1" w:name="OLE_LINK6"/>
      <w:bookmarkStart w:id="2" w:name="OLE_LINK1"/>
      <w:bookmarkStart w:id="3" w:name="OLE_LINK4"/>
      <w:r>
        <w:rPr>
          <w:rFonts w:hint="eastAsia" w:ascii="黑体" w:eastAsia="黑体"/>
          <w:sz w:val="32"/>
          <w:szCs w:val="32"/>
        </w:rPr>
        <w:t>京环</w:t>
      </w:r>
      <w:r>
        <w:rPr>
          <w:rFonts w:hint="eastAsia" w:ascii="黑体" w:eastAsia="黑体"/>
          <w:sz w:val="32"/>
          <w:szCs w:val="32"/>
          <w:lang w:eastAsia="zh-CN"/>
        </w:rPr>
        <w:t>发</w:t>
      </w:r>
      <w:r>
        <w:rPr>
          <w:rFonts w:hint="eastAsia" w:ascii="黑体" w:eastAsia="黑体"/>
          <w:sz w:val="32"/>
          <w:szCs w:val="32"/>
        </w:rPr>
        <w:t>〔202</w:t>
      </w:r>
      <w:r>
        <w:rPr>
          <w:rFonts w:hint="eastAsia" w:ascii="黑体" w:eastAsia="黑体"/>
          <w:sz w:val="32"/>
          <w:szCs w:val="32"/>
          <w:lang w:val="en-US" w:eastAsia="zh-CN"/>
        </w:rPr>
        <w:t>2</w:t>
      </w:r>
      <w:r>
        <w:rPr>
          <w:rFonts w:hint="eastAsia" w:ascii="黑体" w:eastAsia="黑体"/>
          <w:sz w:val="32"/>
          <w:szCs w:val="32"/>
        </w:rPr>
        <w:t>〕</w:t>
      </w:r>
      <w:r>
        <w:rPr>
          <w:rFonts w:hint="eastAsia" w:ascii="黑体" w:eastAsia="黑体"/>
          <w:sz w:val="32"/>
          <w:szCs w:val="32"/>
          <w:lang w:val="en-US" w:eastAsia="zh-CN"/>
        </w:rPr>
        <w:t>7</w:t>
      </w:r>
      <w:r>
        <w:rPr>
          <w:rFonts w:hint="eastAsia" w:ascii="黑体" w:eastAsia="黑体"/>
          <w:sz w:val="32"/>
          <w:szCs w:val="32"/>
        </w:rPr>
        <w:t>号附</w:t>
      </w:r>
      <w:bookmarkEnd w:id="0"/>
      <w:bookmarkEnd w:id="1"/>
      <w:bookmarkEnd w:id="2"/>
      <w:bookmarkEnd w:id="3"/>
      <w:r>
        <w:rPr>
          <w:rFonts w:hint="eastAsia" w:ascii="黑体" w:hAnsi="黑体" w:eastAsia="黑体"/>
          <w:sz w:val="32"/>
          <w:szCs w:val="32"/>
        </w:rPr>
        <w:t>件</w:t>
      </w:r>
      <w:r>
        <w:rPr>
          <w:rFonts w:ascii="黑体" w:hAnsi="黑体" w:eastAsia="黑体"/>
          <w:sz w:val="32"/>
          <w:szCs w:val="32"/>
        </w:rPr>
        <w:t>3</w:t>
      </w:r>
    </w:p>
    <w:p>
      <w:pPr>
        <w:pStyle w:val="50"/>
        <w:spacing w:after="0" w:line="560" w:lineRule="exact"/>
        <w:ind w:left="0"/>
        <w:rPr>
          <w:rFonts w:ascii="黑体" w:hAnsi="黑体" w:eastAsia="黑体"/>
          <w:sz w:val="32"/>
          <w:szCs w:val="32"/>
        </w:rPr>
      </w:pPr>
    </w:p>
    <w:p>
      <w:pPr>
        <w:pStyle w:val="50"/>
        <w:spacing w:after="0" w:line="560" w:lineRule="exact"/>
        <w:ind w:left="0"/>
        <w:rPr>
          <w:rFonts w:ascii="黑体" w:hAnsi="黑体" w:eastAsia="黑体"/>
          <w:sz w:val="32"/>
          <w:szCs w:val="32"/>
        </w:rPr>
      </w:pPr>
    </w:p>
    <w:p>
      <w:pPr>
        <w:pStyle w:val="50"/>
        <w:spacing w:after="0" w:line="560" w:lineRule="exact"/>
        <w:ind w:left="0"/>
        <w:rPr>
          <w:rFonts w:ascii="黑体" w:hAnsi="黑体" w:eastAsia="黑体"/>
          <w:sz w:val="32"/>
          <w:szCs w:val="32"/>
        </w:rPr>
      </w:pPr>
    </w:p>
    <w:p>
      <w:pPr>
        <w:pStyle w:val="50"/>
        <w:spacing w:after="0" w:line="560" w:lineRule="exact"/>
        <w:ind w:left="0"/>
        <w:rPr>
          <w:rFonts w:ascii="黑体" w:hAnsi="黑体" w:eastAsia="黑体"/>
          <w:sz w:val="32"/>
          <w:szCs w:val="32"/>
        </w:rPr>
      </w:pPr>
    </w:p>
    <w:p>
      <w:pPr>
        <w:pStyle w:val="50"/>
        <w:spacing w:after="0" w:line="560" w:lineRule="exact"/>
        <w:ind w:left="0"/>
        <w:rPr>
          <w:rFonts w:ascii="仿宋_GB2312" w:hAnsi="仿宋" w:eastAsia="仿宋_GB2312"/>
          <w:sz w:val="32"/>
          <w:szCs w:val="32"/>
        </w:rPr>
      </w:pPr>
    </w:p>
    <w:p>
      <w:pPr>
        <w:pStyle w:val="50"/>
        <w:spacing w:after="0" w:line="560" w:lineRule="exact"/>
        <w:ind w:left="0"/>
        <w:rPr>
          <w:rFonts w:ascii="仿宋_GB2312" w:hAnsi="仿宋" w:eastAsia="仿宋_GB2312"/>
          <w:sz w:val="32"/>
          <w:szCs w:val="32"/>
        </w:rPr>
      </w:pPr>
    </w:p>
    <w:p>
      <w:pPr>
        <w:pStyle w:val="50"/>
        <w:spacing w:after="0" w:line="480" w:lineRule="auto"/>
        <w:ind w:left="0"/>
        <w:jc w:val="center"/>
        <w:rPr>
          <w:rFonts w:ascii="宋体" w:hAnsi="宋体"/>
          <w:b/>
          <w:sz w:val="44"/>
          <w:szCs w:val="44"/>
        </w:rPr>
      </w:pPr>
      <w:r>
        <w:rPr>
          <w:rFonts w:hint="eastAsia" w:ascii="宋体" w:hAnsi="宋体"/>
          <w:b/>
          <w:sz w:val="44"/>
          <w:szCs w:val="44"/>
        </w:rPr>
        <w:t>北京市碳排放第三方核查报告</w:t>
      </w:r>
    </w:p>
    <w:p>
      <w:pPr>
        <w:pStyle w:val="50"/>
        <w:spacing w:after="0" w:line="480" w:lineRule="auto"/>
        <w:ind w:left="0"/>
        <w:jc w:val="center"/>
        <w:rPr>
          <w:rFonts w:ascii="仿宋_GB2312" w:hAnsi="宋体" w:eastAsia="仿宋_GB2312"/>
          <w:sz w:val="32"/>
          <w:szCs w:val="32"/>
        </w:rPr>
      </w:pPr>
      <w:r>
        <w:rPr>
          <w:rFonts w:hint="eastAsia" w:ascii="宋体" w:hAnsi="宋体"/>
          <w:b/>
          <w:sz w:val="44"/>
          <w:szCs w:val="44"/>
        </w:rPr>
        <w:t>编写指南</w:t>
      </w:r>
    </w:p>
    <w:p>
      <w:pPr>
        <w:spacing w:after="0" w:line="560" w:lineRule="exact"/>
        <w:ind w:firstLine="902"/>
        <w:jc w:val="center"/>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spacing w:after="0" w:line="560" w:lineRule="exact"/>
        <w:ind w:firstLine="902"/>
        <w:rPr>
          <w:rFonts w:ascii="方正小标宋简体" w:hAnsi="仿宋" w:eastAsia="方正小标宋简体"/>
          <w:sz w:val="44"/>
          <w:szCs w:val="44"/>
        </w:rPr>
      </w:pPr>
    </w:p>
    <w:p>
      <w:pPr>
        <w:keepNext w:val="0"/>
        <w:keepLines w:val="0"/>
        <w:pageBreakBefore w:val="0"/>
        <w:widowControl/>
        <w:kinsoku/>
        <w:wordWrap/>
        <w:overflowPunct/>
        <w:topLinePunct w:val="0"/>
        <w:autoSpaceDE/>
        <w:autoSpaceDN/>
        <w:bidi w:val="0"/>
        <w:adjustRightInd/>
        <w:snapToGrid/>
        <w:spacing w:after="0" w:line="560" w:lineRule="exact"/>
        <w:ind w:firstLine="0" w:firstLineChars="0"/>
        <w:jc w:val="center"/>
        <w:textAlignment w:val="auto"/>
        <w:rPr>
          <w:rFonts w:ascii="方正小标宋简体" w:hAnsi="仿宋" w:eastAsia="方正小标宋简体"/>
          <w:sz w:val="44"/>
          <w:szCs w:val="44"/>
        </w:rPr>
      </w:pPr>
      <w:r>
        <w:rPr>
          <w:rFonts w:hint="eastAsia" w:ascii="方正小标宋简体" w:hAnsi="仿宋" w:eastAsia="方正小标宋简体"/>
          <w:sz w:val="44"/>
          <w:szCs w:val="44"/>
        </w:rPr>
        <w:t>前</w:t>
      </w:r>
      <w:r>
        <w:rPr>
          <w:rFonts w:hint="eastAsia" w:ascii="方正小标宋简体" w:hAnsi="仿宋" w:eastAsia="方正小标宋简体"/>
          <w:sz w:val="44"/>
          <w:szCs w:val="44"/>
          <w:lang w:val="en-US" w:eastAsia="zh-CN"/>
        </w:rPr>
        <w:t xml:space="preserve">  </w:t>
      </w:r>
      <w:r>
        <w:rPr>
          <w:rFonts w:hint="eastAsia" w:ascii="方正小标宋简体" w:hAnsi="仿宋" w:eastAsia="方正小标宋简体"/>
          <w:sz w:val="44"/>
          <w:szCs w:val="44"/>
        </w:rPr>
        <w:t>言</w:t>
      </w:r>
    </w:p>
    <w:p>
      <w:pPr>
        <w:spacing w:after="0" w:line="560" w:lineRule="exact"/>
        <w:ind w:firstLine="3322" w:firstLineChars="755"/>
        <w:rPr>
          <w:rFonts w:ascii="方正小标宋简体" w:hAnsi="仿宋" w:eastAsia="方正小标宋简体"/>
          <w:sz w:val="44"/>
          <w:szCs w:val="44"/>
        </w:rPr>
      </w:pPr>
    </w:p>
    <w:p>
      <w:pPr>
        <w:spacing w:after="0" w:line="600" w:lineRule="exact"/>
        <w:ind w:firstLine="640" w:firstLineChars="200"/>
        <w:jc w:val="both"/>
        <w:rPr>
          <w:rFonts w:ascii="仿宋_GB2312" w:eastAsia="仿宋_GB2312"/>
          <w:sz w:val="32"/>
          <w:szCs w:val="32"/>
        </w:rPr>
      </w:pPr>
      <w:r>
        <w:rPr>
          <w:rFonts w:hint="eastAsia" w:ascii="仿宋_GB2312" w:eastAsia="仿宋_GB2312"/>
          <w:sz w:val="32"/>
          <w:szCs w:val="32"/>
        </w:rPr>
        <w:t>“中国二氧化碳排放力争于2030年前达峰，努力争取于2060年前实现碳中和”,是习近平总书记对国际社会的庄严承诺，是党中央、国务院统筹国际国内两个大局作出的重大战略部署，彰显了中国积极应对气候变化、努力构建人类命运共同体、走绿色低碳发展道路的坚定决心。碳市场是推进“双碳”工作的重要市场化机制，碳排放数据是开展交易的基础，数据质量是碳市场的生命线，第三方数据核查是确保数据质量稳定可靠的重要手段。为切实提升本市碳排放权交易相关数据的科学性和规范性，结合实际工作，通过《北京市碳排放单位二氧化碳排放核算和报告要求》对重点碳排放单位年度核算和报告进行了规范，同时也对第三方核查报告编制提出了新的工作要求，各核查机构应结合新的核算要求，进一步提高相关人员专业技术能力，科学核算各排放单位的二氧化碳排放量，丰富和完善核查报告，为本市碳排放权交易工作提供技术支撑。</w:t>
      </w:r>
    </w:p>
    <w:p>
      <w:pPr>
        <w:spacing w:after="0" w:line="240" w:lineRule="auto"/>
        <w:rPr>
          <w:rFonts w:ascii="仿宋_GB2312" w:hAnsi="仿宋" w:eastAsia="仿宋_GB2312"/>
          <w:sz w:val="32"/>
          <w:szCs w:val="32"/>
        </w:rPr>
        <w:sectPr>
          <w:footerReference r:id="rId5" w:type="default"/>
          <w:footerReference r:id="rId6" w:type="even"/>
          <w:pgSz w:w="11906" w:h="16838"/>
          <w:pgMar w:top="2098" w:right="1474" w:bottom="1984" w:left="1587" w:header="851" w:footer="1587" w:gutter="0"/>
          <w:paperSrc/>
          <w:pgNumType w:fmt="decimal"/>
          <w:cols w:space="0" w:num="1"/>
          <w:titlePg/>
          <w:rtlGutter w:val="0"/>
          <w:docGrid w:type="lines" w:linePitch="312" w:charSpace="0"/>
        </w:sectPr>
      </w:pPr>
    </w:p>
    <w:p>
      <w:pPr>
        <w:spacing w:after="0" w:line="560" w:lineRule="exact"/>
        <w:ind w:firstLine="656" w:firstLineChars="205"/>
        <w:outlineLvl w:val="0"/>
        <w:rPr>
          <w:rFonts w:ascii="黑体" w:hAnsi="黑体" w:eastAsia="黑体"/>
          <w:sz w:val="32"/>
          <w:szCs w:val="32"/>
        </w:rPr>
      </w:pPr>
      <w:bookmarkStart w:id="4" w:name="_Toc353116421"/>
      <w:r>
        <w:rPr>
          <w:rFonts w:hint="eastAsia" w:ascii="黑体" w:hAnsi="黑体" w:eastAsia="黑体"/>
          <w:sz w:val="32"/>
          <w:szCs w:val="32"/>
        </w:rPr>
        <w:t>一、适用范围</w:t>
      </w:r>
      <w:bookmarkEnd w:id="4"/>
    </w:p>
    <w:p>
      <w:pPr>
        <w:spacing w:after="0" w:line="560" w:lineRule="exact"/>
        <w:ind w:firstLine="656" w:firstLineChars="205"/>
        <w:rPr>
          <w:rFonts w:ascii="仿宋_GB2312" w:hAnsi="仿宋" w:eastAsia="仿宋_GB2312"/>
          <w:sz w:val="32"/>
          <w:szCs w:val="32"/>
        </w:rPr>
      </w:pPr>
      <w:r>
        <w:rPr>
          <w:rFonts w:hint="eastAsia" w:ascii="仿宋_GB2312" w:hAnsi="仿宋" w:eastAsia="仿宋_GB2312"/>
          <w:sz w:val="32"/>
          <w:szCs w:val="32"/>
        </w:rPr>
        <w:t>本指南用于指导第三方核查机构对北京市碳排放权交易试点机制下二氧化碳重点排放单位（以下简称“重点碳排放单位”）及自愿参与交易的一般二氧化碳报告单位提交的二氧化碳排放报告实施核查后的二氧化碳排放核查报告编制工作。</w:t>
      </w:r>
    </w:p>
    <w:p>
      <w:pPr>
        <w:spacing w:after="0" w:line="560" w:lineRule="exact"/>
        <w:ind w:firstLine="656" w:firstLineChars="205"/>
        <w:outlineLvl w:val="0"/>
        <w:rPr>
          <w:rFonts w:ascii="黑体" w:hAnsi="黑体" w:eastAsia="黑体"/>
          <w:sz w:val="32"/>
          <w:szCs w:val="32"/>
        </w:rPr>
      </w:pPr>
      <w:bookmarkStart w:id="5" w:name="_Toc353116422"/>
      <w:r>
        <w:rPr>
          <w:rFonts w:hint="eastAsia" w:ascii="黑体" w:hAnsi="黑体" w:eastAsia="黑体"/>
          <w:sz w:val="32"/>
          <w:szCs w:val="32"/>
        </w:rPr>
        <w:t>二、核查报告编制依据</w:t>
      </w:r>
      <w:bookmarkEnd w:id="5"/>
    </w:p>
    <w:p>
      <w:pPr>
        <w:widowControl w:val="0"/>
        <w:spacing w:after="0" w:line="560" w:lineRule="exact"/>
        <w:ind w:left="220" w:leftChars="100" w:firstLine="640" w:firstLineChars="200"/>
        <w:jc w:val="both"/>
        <w:rPr>
          <w:rFonts w:ascii="仿宋_GB2312" w:hAnsi="仿宋" w:eastAsia="仿宋_GB2312"/>
          <w:sz w:val="32"/>
          <w:szCs w:val="32"/>
        </w:rPr>
      </w:pPr>
      <w:r>
        <w:rPr>
          <w:rFonts w:hint="eastAsia" w:ascii="仿宋_GB2312" w:hAnsi="仿宋" w:eastAsia="仿宋_GB2312"/>
          <w:sz w:val="32"/>
          <w:szCs w:val="32"/>
        </w:rPr>
        <w:t>二氧化碳排放核查报告的编制依据包括以下文件。</w:t>
      </w:r>
    </w:p>
    <w:p>
      <w:pPr>
        <w:widowControl w:val="0"/>
        <w:spacing w:after="0" w:line="560" w:lineRule="exact"/>
        <w:ind w:left="220" w:leftChars="100" w:firstLine="640" w:firstLineChars="200"/>
        <w:jc w:val="both"/>
        <w:rPr>
          <w:rFonts w:ascii="仿宋_GB2312" w:hAnsi="仿宋" w:eastAsia="仿宋_GB2312"/>
          <w:sz w:val="32"/>
          <w:szCs w:val="32"/>
        </w:rPr>
      </w:pPr>
      <w:bookmarkStart w:id="6" w:name="_Toc353116425"/>
      <w:r>
        <w:rPr>
          <w:rFonts w:ascii="仿宋_GB2312" w:hAnsi="仿宋" w:eastAsia="仿宋_GB2312"/>
          <w:sz w:val="32"/>
          <w:szCs w:val="32"/>
        </w:rPr>
        <w:t>-</w:t>
      </w:r>
      <w:r>
        <w:rPr>
          <w:rFonts w:hint="eastAsia" w:ascii="仿宋_GB2312" w:hAnsi="仿宋" w:eastAsia="仿宋_GB2312"/>
          <w:sz w:val="32"/>
          <w:szCs w:val="32"/>
        </w:rPr>
        <w:t>《二氧化碳排放核算和报告要求</w:t>
      </w:r>
      <w:r>
        <w:rPr>
          <w:rFonts w:ascii="仿宋_GB2312" w:hAnsi="仿宋" w:eastAsia="仿宋_GB2312"/>
          <w:sz w:val="32"/>
          <w:szCs w:val="32"/>
        </w:rPr>
        <w:t>电力生产业（</w:t>
      </w:r>
      <w:r>
        <w:rPr>
          <w:rFonts w:hint="eastAsia" w:ascii="仿宋_GB2312" w:hAnsi="仿宋" w:eastAsia="仿宋_GB2312"/>
          <w:sz w:val="32"/>
          <w:szCs w:val="32"/>
        </w:rPr>
        <w:t>D</w:t>
      </w:r>
      <w:r>
        <w:rPr>
          <w:rFonts w:ascii="仿宋_GB2312" w:hAnsi="仿宋" w:eastAsia="仿宋_GB2312"/>
          <w:sz w:val="32"/>
          <w:szCs w:val="32"/>
        </w:rPr>
        <w:t>B11/T</w:t>
      </w:r>
      <w:r>
        <w:rPr>
          <w:rFonts w:hint="eastAsia" w:ascii="仿宋_GB2312" w:hAnsi="仿宋" w:eastAsia="仿宋_GB2312"/>
          <w:sz w:val="32"/>
          <w:szCs w:val="32"/>
        </w:rPr>
        <w:t>1</w:t>
      </w:r>
      <w:r>
        <w:rPr>
          <w:rFonts w:ascii="仿宋_GB2312" w:hAnsi="仿宋" w:eastAsia="仿宋_GB2312"/>
          <w:sz w:val="32"/>
          <w:szCs w:val="32"/>
        </w:rPr>
        <w:t>781-2020</w:t>
      </w:r>
      <w:r>
        <w:rPr>
          <w:rFonts w:hint="eastAsia" w:ascii="仿宋_GB2312" w:hAnsi="仿宋" w:eastAsia="仿宋_GB2312"/>
          <w:sz w:val="32"/>
          <w:szCs w:val="32"/>
        </w:rPr>
        <w:t>》</w:t>
      </w:r>
      <w:r>
        <w:rPr>
          <w:rFonts w:ascii="仿宋_GB2312" w:hAnsi="仿宋" w:eastAsia="仿宋_GB2312"/>
          <w:sz w:val="32"/>
          <w:szCs w:val="32"/>
        </w:rPr>
        <w:t>；</w:t>
      </w:r>
    </w:p>
    <w:p>
      <w:pPr>
        <w:widowControl w:val="0"/>
        <w:spacing w:after="0" w:line="560" w:lineRule="exact"/>
        <w:ind w:left="220" w:leftChars="100" w:firstLine="640" w:firstLineChars="200"/>
        <w:jc w:val="both"/>
        <w:rPr>
          <w:rFonts w:ascii="仿宋_GB2312" w:hAnsi="仿宋" w:eastAsia="仿宋_GB2312"/>
          <w:sz w:val="32"/>
          <w:szCs w:val="32"/>
        </w:rPr>
      </w:pPr>
      <w:r>
        <w:rPr>
          <w:rFonts w:ascii="仿宋_GB2312" w:hAnsi="仿宋" w:eastAsia="仿宋_GB2312"/>
          <w:sz w:val="32"/>
          <w:szCs w:val="32"/>
        </w:rPr>
        <w:t>-</w:t>
      </w:r>
      <w:r>
        <w:rPr>
          <w:rFonts w:hint="eastAsia" w:ascii="仿宋_GB2312" w:hAnsi="仿宋" w:eastAsia="仿宋_GB2312"/>
          <w:sz w:val="32"/>
          <w:szCs w:val="32"/>
        </w:rPr>
        <w:t>《二氧化碳排放核算和报告要求</w:t>
      </w:r>
      <w:r>
        <w:rPr>
          <w:rFonts w:ascii="仿宋_GB2312" w:hAnsi="仿宋" w:eastAsia="仿宋_GB2312"/>
          <w:sz w:val="32"/>
          <w:szCs w:val="32"/>
        </w:rPr>
        <w:t>水泥制造业（</w:t>
      </w:r>
      <w:r>
        <w:rPr>
          <w:rFonts w:hint="eastAsia" w:ascii="仿宋_GB2312" w:hAnsi="仿宋" w:eastAsia="仿宋_GB2312"/>
          <w:sz w:val="32"/>
          <w:szCs w:val="32"/>
        </w:rPr>
        <w:t>D</w:t>
      </w:r>
      <w:r>
        <w:rPr>
          <w:rFonts w:ascii="仿宋_GB2312" w:hAnsi="仿宋" w:eastAsia="仿宋_GB2312"/>
          <w:sz w:val="32"/>
          <w:szCs w:val="32"/>
        </w:rPr>
        <w:t>B11/T</w:t>
      </w:r>
      <w:r>
        <w:rPr>
          <w:rFonts w:hint="eastAsia" w:ascii="仿宋_GB2312" w:hAnsi="仿宋" w:eastAsia="仿宋_GB2312"/>
          <w:sz w:val="32"/>
          <w:szCs w:val="32"/>
        </w:rPr>
        <w:t>1</w:t>
      </w:r>
      <w:r>
        <w:rPr>
          <w:rFonts w:ascii="仿宋_GB2312" w:hAnsi="仿宋" w:eastAsia="仿宋_GB2312"/>
          <w:sz w:val="32"/>
          <w:szCs w:val="32"/>
        </w:rPr>
        <w:t>782-2020</w:t>
      </w:r>
      <w:r>
        <w:rPr>
          <w:rFonts w:hint="eastAsia" w:ascii="仿宋_GB2312" w:hAnsi="仿宋" w:eastAsia="仿宋_GB2312"/>
          <w:sz w:val="32"/>
          <w:szCs w:val="32"/>
        </w:rPr>
        <w:t>》；</w:t>
      </w:r>
    </w:p>
    <w:p>
      <w:pPr>
        <w:widowControl w:val="0"/>
        <w:spacing w:after="0" w:line="560" w:lineRule="exact"/>
        <w:ind w:left="220" w:leftChars="100" w:firstLine="640" w:firstLineChars="200"/>
        <w:jc w:val="both"/>
        <w:rPr>
          <w:rFonts w:ascii="仿宋_GB2312" w:hAnsi="仿宋" w:eastAsia="仿宋_GB2312"/>
          <w:sz w:val="32"/>
          <w:szCs w:val="32"/>
        </w:rPr>
      </w:pPr>
      <w:r>
        <w:rPr>
          <w:rFonts w:ascii="仿宋_GB2312" w:hAnsi="仿宋" w:eastAsia="仿宋_GB2312"/>
          <w:sz w:val="32"/>
          <w:szCs w:val="32"/>
        </w:rPr>
        <w:t>-</w:t>
      </w:r>
      <w:r>
        <w:rPr>
          <w:rFonts w:hint="eastAsia" w:ascii="仿宋_GB2312" w:hAnsi="仿宋" w:eastAsia="仿宋_GB2312"/>
          <w:sz w:val="32"/>
          <w:szCs w:val="32"/>
        </w:rPr>
        <w:t>《二氧化碳排放核算和报告要求</w:t>
      </w:r>
      <w:r>
        <w:rPr>
          <w:rFonts w:ascii="仿宋_GB2312" w:hAnsi="仿宋" w:eastAsia="仿宋_GB2312"/>
          <w:sz w:val="32"/>
          <w:szCs w:val="32"/>
        </w:rPr>
        <w:t>石油化工生产业（</w:t>
      </w:r>
      <w:r>
        <w:rPr>
          <w:rFonts w:hint="eastAsia" w:ascii="仿宋_GB2312" w:hAnsi="仿宋" w:eastAsia="仿宋_GB2312"/>
          <w:sz w:val="32"/>
          <w:szCs w:val="32"/>
        </w:rPr>
        <w:t>D</w:t>
      </w:r>
      <w:r>
        <w:rPr>
          <w:rFonts w:ascii="仿宋_GB2312" w:hAnsi="仿宋" w:eastAsia="仿宋_GB2312"/>
          <w:sz w:val="32"/>
          <w:szCs w:val="32"/>
        </w:rPr>
        <w:t>B11/T</w:t>
      </w:r>
      <w:r>
        <w:rPr>
          <w:rFonts w:hint="eastAsia" w:ascii="仿宋_GB2312" w:hAnsi="仿宋" w:eastAsia="仿宋_GB2312"/>
          <w:sz w:val="32"/>
          <w:szCs w:val="32"/>
        </w:rPr>
        <w:t>1</w:t>
      </w:r>
      <w:r>
        <w:rPr>
          <w:rFonts w:ascii="仿宋_GB2312" w:hAnsi="仿宋" w:eastAsia="仿宋_GB2312"/>
          <w:sz w:val="32"/>
          <w:szCs w:val="32"/>
        </w:rPr>
        <w:t>783-2020</w:t>
      </w:r>
      <w:r>
        <w:rPr>
          <w:rFonts w:hint="eastAsia" w:ascii="仿宋_GB2312" w:hAnsi="仿宋" w:eastAsia="仿宋_GB2312"/>
          <w:sz w:val="32"/>
          <w:szCs w:val="32"/>
        </w:rPr>
        <w:t>》；</w:t>
      </w:r>
    </w:p>
    <w:p>
      <w:pPr>
        <w:widowControl w:val="0"/>
        <w:spacing w:after="0" w:line="560" w:lineRule="exact"/>
        <w:ind w:left="220" w:leftChars="100" w:firstLine="640" w:firstLineChars="200"/>
        <w:jc w:val="both"/>
        <w:rPr>
          <w:rFonts w:ascii="仿宋_GB2312" w:hAnsi="仿宋" w:eastAsia="仿宋_GB2312"/>
          <w:sz w:val="32"/>
          <w:szCs w:val="32"/>
        </w:rPr>
      </w:pPr>
      <w:r>
        <w:rPr>
          <w:rFonts w:ascii="仿宋_GB2312" w:hAnsi="仿宋" w:eastAsia="仿宋_GB2312"/>
          <w:sz w:val="32"/>
          <w:szCs w:val="32"/>
        </w:rPr>
        <w:t>-</w:t>
      </w:r>
      <w:r>
        <w:rPr>
          <w:rFonts w:hint="eastAsia" w:ascii="仿宋_GB2312" w:hAnsi="仿宋" w:eastAsia="仿宋_GB2312"/>
          <w:sz w:val="32"/>
          <w:szCs w:val="32"/>
        </w:rPr>
        <w:t>《二氧化碳排放核算和报告要求</w:t>
      </w:r>
      <w:r>
        <w:rPr>
          <w:rFonts w:ascii="仿宋_GB2312" w:hAnsi="仿宋" w:eastAsia="仿宋_GB2312"/>
          <w:sz w:val="32"/>
          <w:szCs w:val="32"/>
        </w:rPr>
        <w:t>热力生产和供应业（</w:t>
      </w:r>
      <w:r>
        <w:rPr>
          <w:rFonts w:hint="eastAsia" w:ascii="仿宋_GB2312" w:hAnsi="仿宋" w:eastAsia="仿宋_GB2312"/>
          <w:sz w:val="32"/>
          <w:szCs w:val="32"/>
        </w:rPr>
        <w:t>D</w:t>
      </w:r>
      <w:r>
        <w:rPr>
          <w:rFonts w:ascii="仿宋_GB2312" w:hAnsi="仿宋" w:eastAsia="仿宋_GB2312"/>
          <w:sz w:val="32"/>
          <w:szCs w:val="32"/>
        </w:rPr>
        <w:t>B11/T</w:t>
      </w:r>
      <w:r>
        <w:rPr>
          <w:rFonts w:hint="eastAsia" w:ascii="仿宋_GB2312" w:hAnsi="仿宋" w:eastAsia="仿宋_GB2312"/>
          <w:sz w:val="32"/>
          <w:szCs w:val="32"/>
        </w:rPr>
        <w:t>1</w:t>
      </w:r>
      <w:r>
        <w:rPr>
          <w:rFonts w:ascii="仿宋_GB2312" w:hAnsi="仿宋" w:eastAsia="仿宋_GB2312"/>
          <w:sz w:val="32"/>
          <w:szCs w:val="32"/>
        </w:rPr>
        <w:t>784-2020</w:t>
      </w:r>
      <w:r>
        <w:rPr>
          <w:rFonts w:hint="eastAsia" w:ascii="仿宋_GB2312" w:hAnsi="仿宋" w:eastAsia="仿宋_GB2312"/>
          <w:sz w:val="32"/>
          <w:szCs w:val="32"/>
        </w:rPr>
        <w:t>》；</w:t>
      </w:r>
    </w:p>
    <w:p>
      <w:pPr>
        <w:widowControl w:val="0"/>
        <w:spacing w:after="0" w:line="560" w:lineRule="exact"/>
        <w:ind w:left="220" w:leftChars="100" w:firstLine="640" w:firstLineChars="200"/>
        <w:jc w:val="both"/>
        <w:rPr>
          <w:rFonts w:ascii="仿宋_GB2312" w:hAnsi="仿宋" w:eastAsia="仿宋_GB2312"/>
          <w:sz w:val="32"/>
          <w:szCs w:val="32"/>
        </w:rPr>
      </w:pPr>
      <w:r>
        <w:rPr>
          <w:rFonts w:ascii="仿宋_GB2312" w:hAnsi="仿宋" w:eastAsia="仿宋_GB2312"/>
          <w:sz w:val="32"/>
          <w:szCs w:val="32"/>
        </w:rPr>
        <w:t>-</w:t>
      </w:r>
      <w:r>
        <w:rPr>
          <w:rFonts w:hint="eastAsia" w:ascii="仿宋_GB2312" w:hAnsi="仿宋" w:eastAsia="仿宋_GB2312"/>
          <w:sz w:val="32"/>
          <w:szCs w:val="32"/>
        </w:rPr>
        <w:t>《二氧化碳排放核算和报告要求</w:t>
      </w:r>
      <w:r>
        <w:rPr>
          <w:rFonts w:ascii="仿宋_GB2312" w:hAnsi="仿宋" w:eastAsia="仿宋_GB2312"/>
          <w:sz w:val="32"/>
          <w:szCs w:val="32"/>
        </w:rPr>
        <w:t>服务业（</w:t>
      </w:r>
      <w:r>
        <w:rPr>
          <w:rFonts w:hint="eastAsia" w:ascii="仿宋_GB2312" w:hAnsi="仿宋" w:eastAsia="仿宋_GB2312"/>
          <w:sz w:val="32"/>
          <w:szCs w:val="32"/>
        </w:rPr>
        <w:t>D</w:t>
      </w:r>
      <w:r>
        <w:rPr>
          <w:rFonts w:ascii="仿宋_GB2312" w:hAnsi="仿宋" w:eastAsia="仿宋_GB2312"/>
          <w:sz w:val="32"/>
          <w:szCs w:val="32"/>
        </w:rPr>
        <w:t>B11/T</w:t>
      </w:r>
      <w:r>
        <w:rPr>
          <w:rFonts w:hint="eastAsia" w:ascii="仿宋_GB2312" w:hAnsi="仿宋" w:eastAsia="仿宋_GB2312"/>
          <w:sz w:val="32"/>
          <w:szCs w:val="32"/>
        </w:rPr>
        <w:t>1</w:t>
      </w:r>
      <w:r>
        <w:rPr>
          <w:rFonts w:ascii="仿宋_GB2312" w:hAnsi="仿宋" w:eastAsia="仿宋_GB2312"/>
          <w:sz w:val="32"/>
          <w:szCs w:val="32"/>
        </w:rPr>
        <w:t>785-2020</w:t>
      </w:r>
      <w:r>
        <w:rPr>
          <w:rFonts w:hint="eastAsia" w:ascii="仿宋_GB2312" w:hAnsi="仿宋" w:eastAsia="仿宋_GB2312"/>
          <w:sz w:val="32"/>
          <w:szCs w:val="32"/>
        </w:rPr>
        <w:t>》；</w:t>
      </w:r>
    </w:p>
    <w:p>
      <w:pPr>
        <w:widowControl w:val="0"/>
        <w:spacing w:after="0" w:line="560" w:lineRule="exact"/>
        <w:ind w:left="220" w:leftChars="100" w:firstLine="640" w:firstLineChars="200"/>
        <w:jc w:val="both"/>
        <w:rPr>
          <w:rFonts w:ascii="仿宋_GB2312" w:hAnsi="仿宋" w:eastAsia="仿宋_GB2312"/>
          <w:sz w:val="32"/>
          <w:szCs w:val="32"/>
        </w:rPr>
      </w:pPr>
      <w:r>
        <w:rPr>
          <w:rFonts w:ascii="仿宋_GB2312" w:hAnsi="仿宋" w:eastAsia="仿宋_GB2312"/>
          <w:sz w:val="32"/>
          <w:szCs w:val="32"/>
        </w:rPr>
        <w:t>-</w:t>
      </w:r>
      <w:r>
        <w:rPr>
          <w:rFonts w:hint="eastAsia" w:ascii="仿宋_GB2312" w:hAnsi="仿宋" w:eastAsia="仿宋_GB2312"/>
          <w:sz w:val="32"/>
          <w:szCs w:val="32"/>
        </w:rPr>
        <w:t>《二氧化碳排放核算和报告要求</w:t>
      </w:r>
      <w:r>
        <w:rPr>
          <w:rFonts w:ascii="仿宋_GB2312" w:hAnsi="仿宋" w:eastAsia="仿宋_GB2312"/>
          <w:sz w:val="32"/>
          <w:szCs w:val="32"/>
        </w:rPr>
        <w:t>道路运输业（</w:t>
      </w:r>
      <w:r>
        <w:rPr>
          <w:rFonts w:hint="eastAsia" w:ascii="仿宋_GB2312" w:hAnsi="仿宋" w:eastAsia="仿宋_GB2312"/>
          <w:sz w:val="32"/>
          <w:szCs w:val="32"/>
        </w:rPr>
        <w:t>D</w:t>
      </w:r>
      <w:r>
        <w:rPr>
          <w:rFonts w:ascii="仿宋_GB2312" w:hAnsi="仿宋" w:eastAsia="仿宋_GB2312"/>
          <w:sz w:val="32"/>
          <w:szCs w:val="32"/>
        </w:rPr>
        <w:t>B11/T</w:t>
      </w:r>
      <w:r>
        <w:rPr>
          <w:rFonts w:hint="eastAsia" w:ascii="仿宋_GB2312" w:hAnsi="仿宋" w:eastAsia="仿宋_GB2312"/>
          <w:sz w:val="32"/>
          <w:szCs w:val="32"/>
        </w:rPr>
        <w:t>1</w:t>
      </w:r>
      <w:r>
        <w:rPr>
          <w:rFonts w:ascii="仿宋_GB2312" w:hAnsi="仿宋" w:eastAsia="仿宋_GB2312"/>
          <w:sz w:val="32"/>
          <w:szCs w:val="32"/>
        </w:rPr>
        <w:t>786-2020</w:t>
      </w:r>
      <w:r>
        <w:rPr>
          <w:rFonts w:hint="eastAsia" w:ascii="仿宋_GB2312" w:hAnsi="仿宋" w:eastAsia="仿宋_GB2312"/>
          <w:sz w:val="32"/>
          <w:szCs w:val="32"/>
        </w:rPr>
        <w:t>》</w:t>
      </w:r>
      <w:r>
        <w:rPr>
          <w:rFonts w:ascii="仿宋_GB2312" w:hAnsi="仿宋" w:eastAsia="仿宋_GB2312"/>
          <w:sz w:val="32"/>
          <w:szCs w:val="32"/>
        </w:rPr>
        <w:t>；</w:t>
      </w:r>
    </w:p>
    <w:p>
      <w:pPr>
        <w:widowControl w:val="0"/>
        <w:spacing w:after="0" w:line="560" w:lineRule="exact"/>
        <w:ind w:left="220" w:leftChars="100" w:firstLine="640" w:firstLineChars="200"/>
        <w:jc w:val="both"/>
        <w:rPr>
          <w:rFonts w:ascii="仿宋_GB2312" w:hAnsi="仿宋" w:eastAsia="仿宋_GB2312"/>
          <w:sz w:val="32"/>
          <w:szCs w:val="32"/>
        </w:rPr>
      </w:pPr>
      <w:r>
        <w:rPr>
          <w:rFonts w:ascii="仿宋_GB2312" w:hAnsi="仿宋" w:eastAsia="仿宋_GB2312"/>
          <w:sz w:val="32"/>
          <w:szCs w:val="32"/>
        </w:rPr>
        <w:t>-</w:t>
      </w:r>
      <w:r>
        <w:rPr>
          <w:rFonts w:hint="eastAsia" w:ascii="仿宋_GB2312" w:hAnsi="仿宋" w:eastAsia="仿宋_GB2312"/>
          <w:sz w:val="32"/>
          <w:szCs w:val="32"/>
        </w:rPr>
        <w:t xml:space="preserve">《二氧化碳排放核算和报告要求 </w:t>
      </w:r>
      <w:r>
        <w:rPr>
          <w:rFonts w:ascii="仿宋_GB2312" w:hAnsi="仿宋" w:eastAsia="仿宋_GB2312"/>
          <w:sz w:val="32"/>
          <w:szCs w:val="32"/>
        </w:rPr>
        <w:t>其它行业（</w:t>
      </w:r>
      <w:r>
        <w:rPr>
          <w:rFonts w:hint="eastAsia" w:ascii="仿宋_GB2312" w:hAnsi="仿宋" w:eastAsia="仿宋_GB2312"/>
          <w:sz w:val="32"/>
          <w:szCs w:val="32"/>
        </w:rPr>
        <w:t>D</w:t>
      </w:r>
      <w:r>
        <w:rPr>
          <w:rFonts w:ascii="仿宋_GB2312" w:hAnsi="仿宋" w:eastAsia="仿宋_GB2312"/>
          <w:sz w:val="32"/>
          <w:szCs w:val="32"/>
        </w:rPr>
        <w:t>B11/T</w:t>
      </w:r>
      <w:r>
        <w:rPr>
          <w:rFonts w:hint="eastAsia" w:ascii="仿宋_GB2312" w:hAnsi="仿宋" w:eastAsia="仿宋_GB2312"/>
          <w:sz w:val="32"/>
          <w:szCs w:val="32"/>
        </w:rPr>
        <w:t>1</w:t>
      </w:r>
      <w:r>
        <w:rPr>
          <w:rFonts w:ascii="仿宋_GB2312" w:hAnsi="仿宋" w:eastAsia="仿宋_GB2312"/>
          <w:sz w:val="32"/>
          <w:szCs w:val="32"/>
        </w:rPr>
        <w:t>787-2020</w:t>
      </w:r>
      <w:r>
        <w:rPr>
          <w:rFonts w:hint="eastAsia" w:ascii="仿宋_GB2312" w:hAnsi="仿宋" w:eastAsia="仿宋_GB2312"/>
          <w:sz w:val="32"/>
          <w:szCs w:val="32"/>
        </w:rPr>
        <w:t>》</w:t>
      </w:r>
    </w:p>
    <w:p>
      <w:pPr>
        <w:widowControl w:val="0"/>
        <w:spacing w:after="0" w:line="560" w:lineRule="exact"/>
        <w:ind w:left="220" w:leftChars="100" w:firstLine="640" w:firstLineChars="200"/>
        <w:jc w:val="both"/>
        <w:rPr>
          <w:rFonts w:ascii="仿宋_GB2312" w:hAnsi="仿宋" w:eastAsia="仿宋_GB2312"/>
          <w:sz w:val="32"/>
          <w:szCs w:val="32"/>
        </w:rPr>
      </w:pPr>
      <w:r>
        <w:rPr>
          <w:rFonts w:ascii="仿宋_GB2312" w:hAnsi="仿宋" w:eastAsia="仿宋_GB2312"/>
          <w:sz w:val="32"/>
          <w:szCs w:val="32"/>
        </w:rPr>
        <w:t>-</w:t>
      </w:r>
      <w:r>
        <w:rPr>
          <w:rFonts w:hint="eastAsia" w:ascii="仿宋_GB2312" w:hAnsi="仿宋" w:eastAsia="仿宋_GB2312"/>
          <w:sz w:val="32"/>
          <w:szCs w:val="32"/>
        </w:rPr>
        <w:t>《北京市碳排放单位二氧化碳排放核算和报告要求》。</w:t>
      </w:r>
    </w:p>
    <w:bookmarkEnd w:id="6"/>
    <w:p>
      <w:pPr>
        <w:spacing w:after="0" w:line="560" w:lineRule="exact"/>
        <w:ind w:firstLine="656" w:firstLineChars="205"/>
        <w:outlineLvl w:val="0"/>
        <w:rPr>
          <w:rFonts w:ascii="黑体" w:hAnsi="黑体" w:eastAsia="黑体"/>
          <w:sz w:val="32"/>
          <w:szCs w:val="32"/>
        </w:rPr>
      </w:pPr>
      <w:bookmarkStart w:id="7" w:name="_Toc353116426"/>
      <w:r>
        <w:rPr>
          <w:rFonts w:hint="eastAsia" w:ascii="黑体" w:hAnsi="黑体" w:eastAsia="黑体"/>
          <w:sz w:val="32"/>
          <w:szCs w:val="32"/>
        </w:rPr>
        <w:t>三、核查报告编制原则和方法</w:t>
      </w:r>
      <w:bookmarkEnd w:id="7"/>
    </w:p>
    <w:p>
      <w:pPr>
        <w:spacing w:after="0" w:line="560" w:lineRule="exact"/>
        <w:ind w:firstLine="880" w:firstLineChars="274"/>
        <w:outlineLvl w:val="0"/>
        <w:rPr>
          <w:rFonts w:ascii="楷体_GB2312" w:hAnsi="仿宋" w:eastAsia="楷体_GB2312"/>
          <w:b/>
          <w:sz w:val="32"/>
          <w:szCs w:val="32"/>
        </w:rPr>
      </w:pPr>
      <w:bookmarkStart w:id="8" w:name="_Toc353116427"/>
      <w:r>
        <w:rPr>
          <w:rFonts w:hint="eastAsia" w:ascii="楷体_GB2312" w:hAnsi="仿宋" w:eastAsia="楷体_GB2312"/>
          <w:b/>
          <w:sz w:val="32"/>
          <w:szCs w:val="32"/>
        </w:rPr>
        <w:t>（一）编制原则</w:t>
      </w:r>
      <w:bookmarkEnd w:id="8"/>
    </w:p>
    <w:p>
      <w:pPr>
        <w:pStyle w:val="58"/>
        <w:numPr>
          <w:ilvl w:val="0"/>
          <w:numId w:val="1"/>
        </w:numPr>
        <w:spacing w:line="560" w:lineRule="exact"/>
        <w:ind w:left="110" w:firstLine="770"/>
        <w:rPr>
          <w:rFonts w:ascii="仿宋_GB2312" w:hAnsi="仿宋" w:eastAsia="仿宋_GB2312"/>
          <w:sz w:val="32"/>
          <w:szCs w:val="32"/>
        </w:rPr>
      </w:pPr>
      <w:r>
        <w:rPr>
          <w:rFonts w:hint="eastAsia" w:ascii="仿宋_GB2312" w:hAnsi="仿宋" w:eastAsia="仿宋_GB2312"/>
          <w:sz w:val="32"/>
          <w:szCs w:val="32"/>
        </w:rPr>
        <w:t>核查报告的编写应当遵循客观独立、公平公正、诚实守信、实事求是的原则。核查机构应独立于重点碳排放单位，避免可能的直接或间接利益冲突，核查员在核查过程中应保持客观，核查结论应以核查过程中获得的客观依据为基础，避免任何偏见，不受其它利益方的影响；</w:t>
      </w:r>
    </w:p>
    <w:p>
      <w:pPr>
        <w:pStyle w:val="58"/>
        <w:numPr>
          <w:ilvl w:val="0"/>
          <w:numId w:val="1"/>
        </w:numPr>
        <w:spacing w:line="560" w:lineRule="exact"/>
        <w:ind w:left="110" w:firstLine="770"/>
        <w:rPr>
          <w:rFonts w:ascii="仿宋_GB2312" w:hAnsi="仿宋" w:eastAsia="仿宋_GB2312"/>
          <w:sz w:val="32"/>
          <w:szCs w:val="32"/>
        </w:rPr>
      </w:pPr>
      <w:r>
        <w:rPr>
          <w:rFonts w:hint="eastAsia" w:ascii="仿宋_GB2312" w:hAnsi="仿宋" w:eastAsia="仿宋_GB2312"/>
          <w:sz w:val="32"/>
          <w:szCs w:val="32"/>
        </w:rPr>
        <w:t>核查机构应当采用文档查阅、现场观察和访问、分析计算等方法获取编制核查报告所需的资料和数据。</w:t>
      </w:r>
    </w:p>
    <w:p>
      <w:pPr>
        <w:pStyle w:val="58"/>
        <w:numPr>
          <w:ilvl w:val="0"/>
          <w:numId w:val="1"/>
        </w:numPr>
        <w:spacing w:line="560" w:lineRule="exact"/>
        <w:ind w:left="110" w:firstLine="770"/>
        <w:rPr>
          <w:rFonts w:ascii="仿宋_GB2312" w:hAnsi="仿宋" w:eastAsia="仿宋_GB2312"/>
          <w:sz w:val="32"/>
          <w:szCs w:val="32"/>
        </w:rPr>
      </w:pPr>
      <w:r>
        <w:rPr>
          <w:rFonts w:hint="eastAsia" w:ascii="仿宋_GB2312" w:hAnsi="仿宋" w:eastAsia="仿宋_GB2312"/>
          <w:sz w:val="32"/>
          <w:szCs w:val="32"/>
        </w:rPr>
        <w:t>核查机构在核查过程中应当保持一致性。一致性体现在:在整个报告期内的核算和报告的准则保持一致；历史排放报告和年度排放报告的核查方法保持一致；在不同重点碳排放单位存在类似情形时，核查方法保持一致。</w:t>
      </w:r>
    </w:p>
    <w:p>
      <w:pPr>
        <w:pStyle w:val="58"/>
        <w:numPr>
          <w:ilvl w:val="0"/>
          <w:numId w:val="1"/>
        </w:numPr>
        <w:spacing w:line="560" w:lineRule="exact"/>
        <w:ind w:left="110" w:firstLine="770"/>
        <w:rPr>
          <w:rFonts w:ascii="仿宋_GB2312" w:hAnsi="仿宋" w:eastAsia="仿宋_GB2312"/>
          <w:sz w:val="32"/>
          <w:szCs w:val="32"/>
        </w:rPr>
      </w:pPr>
      <w:r>
        <w:rPr>
          <w:rFonts w:hint="eastAsia" w:ascii="仿宋_GB2312" w:hAnsi="仿宋" w:eastAsia="仿宋_GB2312"/>
          <w:sz w:val="32"/>
          <w:szCs w:val="32"/>
        </w:rPr>
        <w:t>核查机构在核查过程中应当保持透明性。透明性体现在核查报告中的信息应以一种开放的、清晰的、实际的、中立的和相关的方式来表达，并且以文件化的证据为基础，应清晰地标明引用文件。</w:t>
      </w:r>
    </w:p>
    <w:p>
      <w:pPr>
        <w:pStyle w:val="58"/>
        <w:numPr>
          <w:ilvl w:val="0"/>
          <w:numId w:val="1"/>
        </w:numPr>
        <w:spacing w:line="560" w:lineRule="exact"/>
        <w:ind w:left="110" w:firstLine="770"/>
        <w:rPr>
          <w:rFonts w:ascii="仿宋_GB2312" w:hAnsi="仿宋" w:eastAsia="仿宋_GB2312"/>
          <w:sz w:val="32"/>
          <w:szCs w:val="32"/>
        </w:rPr>
      </w:pPr>
      <w:r>
        <w:rPr>
          <w:rFonts w:hint="eastAsia" w:ascii="仿宋_GB2312" w:hAnsi="仿宋" w:eastAsia="仿宋_GB2312"/>
          <w:sz w:val="32"/>
          <w:szCs w:val="32"/>
        </w:rPr>
        <w:t>核查机构应当保守重点碳排放单位的商业秘密及相关数据和资料。核查员应遵守核查机构与重点碳排放单位签订的核查协议中约定的保密条款，对核查过程中所获取的信息负有保密责任。</w:t>
      </w:r>
    </w:p>
    <w:p>
      <w:pPr>
        <w:spacing w:after="0" w:line="560" w:lineRule="exact"/>
        <w:ind w:firstLine="880" w:firstLineChars="274"/>
        <w:outlineLvl w:val="0"/>
        <w:rPr>
          <w:rFonts w:ascii="楷体_GB2312" w:hAnsi="仿宋" w:eastAsia="楷体_GB2312"/>
          <w:b/>
          <w:sz w:val="32"/>
          <w:szCs w:val="32"/>
        </w:rPr>
      </w:pPr>
      <w:bookmarkStart w:id="9" w:name="_Toc353116428"/>
      <w:r>
        <w:rPr>
          <w:rFonts w:hint="eastAsia" w:ascii="楷体_GB2312" w:hAnsi="仿宋" w:eastAsia="楷体_GB2312"/>
          <w:b/>
          <w:sz w:val="32"/>
          <w:szCs w:val="32"/>
        </w:rPr>
        <w:t>（二）编制方法</w:t>
      </w:r>
      <w:bookmarkEnd w:id="9"/>
    </w:p>
    <w:p>
      <w:pPr>
        <w:spacing w:after="0" w:line="560" w:lineRule="exact"/>
        <w:ind w:firstLine="656" w:firstLineChars="205"/>
        <w:outlineLvl w:val="0"/>
        <w:rPr>
          <w:rFonts w:ascii="仿宋_GB2312" w:hAnsi="仿宋" w:eastAsia="仿宋_GB2312"/>
          <w:sz w:val="32"/>
          <w:szCs w:val="32"/>
        </w:rPr>
      </w:pPr>
      <w:r>
        <w:rPr>
          <w:rFonts w:hint="eastAsia" w:ascii="仿宋_GB2312" w:hAnsi="仿宋" w:eastAsia="仿宋_GB2312"/>
          <w:sz w:val="32"/>
          <w:szCs w:val="32"/>
        </w:rPr>
        <w:t>1.基本原理</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二氧化碳排放核算和核查所依据的基本原理包括：物料平衡原理、排放因子计算方法以及实时监测原理。实时监测办法测量结果的不确定性不能高于采用基于物料平衡或基于排放因子的方法学的计算结果。</w:t>
      </w:r>
    </w:p>
    <w:p>
      <w:pPr>
        <w:spacing w:after="0"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2.基本方法</w:t>
      </w:r>
    </w:p>
    <w:p>
      <w:pPr>
        <w:pStyle w:val="58"/>
        <w:spacing w:line="560" w:lineRule="exact"/>
        <w:ind w:firstLine="640" w:firstLineChars="200"/>
        <w:rPr>
          <w:rFonts w:ascii="仿宋_GB2312" w:hAnsi="仿宋" w:eastAsia="仿宋_GB2312" w:cs="Arial"/>
          <w:sz w:val="32"/>
          <w:szCs w:val="32"/>
        </w:rPr>
      </w:pPr>
      <w:r>
        <w:rPr>
          <w:rFonts w:hint="eastAsia" w:ascii="仿宋_GB2312" w:hAnsi="仿宋" w:eastAsia="仿宋_GB2312" w:cs="Arial"/>
          <w:sz w:val="32"/>
          <w:szCs w:val="32"/>
        </w:rPr>
        <w:t>核查机构应使用标准的核查方法来评估重点碳排放单位提供信息的质量，并编写核查报告。方法包括但不限于：</w:t>
      </w:r>
    </w:p>
    <w:p>
      <w:pPr>
        <w:pStyle w:val="58"/>
        <w:spacing w:line="560" w:lineRule="exact"/>
        <w:ind w:firstLine="640" w:firstLineChars="200"/>
        <w:rPr>
          <w:rFonts w:ascii="仿宋_GB2312" w:hAnsi="仿宋" w:eastAsia="仿宋_GB2312" w:cs="Arial"/>
          <w:sz w:val="32"/>
          <w:szCs w:val="32"/>
        </w:rPr>
      </w:pPr>
      <w:r>
        <w:rPr>
          <w:rFonts w:hint="eastAsia" w:ascii="仿宋_GB2312" w:hAnsi="仿宋" w:eastAsia="仿宋_GB2312" w:cs="Arial"/>
          <w:sz w:val="32"/>
          <w:szCs w:val="32"/>
        </w:rPr>
        <w:t>1）文件评审，包括：</w:t>
      </w:r>
    </w:p>
    <w:p>
      <w:pPr>
        <w:pStyle w:val="58"/>
        <w:numPr>
          <w:ilvl w:val="0"/>
          <w:numId w:val="2"/>
        </w:numPr>
        <w:spacing w:line="560" w:lineRule="exact"/>
        <w:ind w:left="0" w:firstLine="480"/>
        <w:rPr>
          <w:rFonts w:ascii="仿宋_GB2312" w:hAnsi="仿宋" w:eastAsia="仿宋_GB2312"/>
          <w:sz w:val="32"/>
          <w:szCs w:val="32"/>
        </w:rPr>
      </w:pPr>
      <w:r>
        <w:rPr>
          <w:rFonts w:hint="eastAsia" w:ascii="仿宋_GB2312" w:hAnsi="仿宋" w:eastAsia="仿宋_GB2312" w:cs="Arial"/>
          <w:sz w:val="32"/>
          <w:szCs w:val="32"/>
        </w:rPr>
        <w:t>评审重点碳排放单位提供的数据和信息的完整性，判断排放是否包括了所有的相关地方标准或适用核算和报告指南所界定的化石燃料燃烧的二氧化碳排放、工业生产过程的二氧化碳排放、废弃物处理等二氧化碳直接排放以及电力消耗隐含的电力生产时的二氧化碳间接排放</w:t>
      </w:r>
      <w:r>
        <w:rPr>
          <w:rFonts w:hint="eastAsia" w:ascii="仿宋_GB2312" w:hAnsi="仿宋" w:eastAsia="仿宋_GB2312"/>
          <w:sz w:val="32"/>
          <w:szCs w:val="32"/>
        </w:rPr>
        <w:t>；</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cs="Arial"/>
          <w:sz w:val="32"/>
          <w:szCs w:val="32"/>
        </w:rPr>
        <w:t>若发现异常值、异常波动和趋势、数据缺失、与其他相关信息不一致或与预期数值、比率显著不同的数据，应要求重点碳排放单位对此提供解释，同时提供其他的相关证据予以支持。根据提供的解释和其他证据，核查机构应评估这些异常对所报告数据产生的影响。</w:t>
      </w:r>
    </w:p>
    <w:p>
      <w:pPr>
        <w:pStyle w:val="58"/>
        <w:spacing w:line="560" w:lineRule="exact"/>
        <w:ind w:firstLine="640" w:firstLineChars="200"/>
        <w:rPr>
          <w:rFonts w:ascii="仿宋_GB2312" w:hAnsi="仿宋" w:eastAsia="仿宋_GB2312" w:cs="Arial"/>
          <w:sz w:val="32"/>
          <w:szCs w:val="32"/>
        </w:rPr>
      </w:pPr>
      <w:r>
        <w:rPr>
          <w:rFonts w:hint="eastAsia" w:ascii="仿宋_GB2312" w:hAnsi="仿宋" w:eastAsia="仿宋_GB2312" w:cs="Arial"/>
          <w:sz w:val="32"/>
          <w:szCs w:val="32"/>
        </w:rPr>
        <w:t>2)现场访问，包括：</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cs="Arial"/>
          <w:sz w:val="32"/>
          <w:szCs w:val="32"/>
        </w:rPr>
        <w:t>评审设施的边界以及排放源的完整性，检查设备的名称、设备型号和物理位置，还可根据风险的大小决定是否需要访问重点碳排放单位的其他地点，包括开展数据流管理和其他质量控制活动的其他地点，例如集团总部和不在该现场的其他办公场所；</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cs="Arial"/>
          <w:sz w:val="32"/>
          <w:szCs w:val="32"/>
        </w:rPr>
        <w:t>访谈相关人员以判断数据收集程序与</w:t>
      </w:r>
      <w:r>
        <w:rPr>
          <w:rFonts w:hint="eastAsia" w:ascii="仿宋_GB2312" w:hAnsi="仿宋" w:eastAsia="仿宋_GB2312"/>
          <w:sz w:val="32"/>
          <w:szCs w:val="32"/>
        </w:rPr>
        <w:t>相关行业指南的要求是否保持一致。并且确保对于同一企业的同一种生产活动，其二氧化碳排放的核算方法应保持不变</w:t>
      </w:r>
      <w:r>
        <w:rPr>
          <w:rFonts w:hint="eastAsia" w:ascii="仿宋_GB2312" w:hAnsi="仿宋" w:eastAsia="仿宋_GB2312" w:cs="Arial"/>
          <w:sz w:val="32"/>
          <w:szCs w:val="32"/>
        </w:rPr>
        <w:t>；</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cs="Arial"/>
          <w:sz w:val="32"/>
          <w:szCs w:val="32"/>
        </w:rPr>
        <w:t>检查测量设备</w:t>
      </w:r>
      <w:r>
        <w:rPr>
          <w:rFonts w:hint="eastAsia" w:ascii="仿宋_GB2312" w:hAnsi="仿宋" w:eastAsia="仿宋_GB2312"/>
          <w:sz w:val="32"/>
          <w:szCs w:val="32"/>
        </w:rPr>
        <w:t>，</w:t>
      </w:r>
      <w:r>
        <w:rPr>
          <w:rFonts w:hint="eastAsia" w:ascii="仿宋_GB2312" w:hAnsi="仿宋" w:eastAsia="仿宋_GB2312" w:cs="Arial"/>
          <w:sz w:val="32"/>
          <w:szCs w:val="32"/>
        </w:rPr>
        <w:t>包括检查设备的精度及校准记录及观察测量设备的运行，评审数据的监测频次，判断数据的监测和监测计划的制定与实施是否符合适用的地方标准或核算和报告指南的要求；</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cs="Arial"/>
          <w:sz w:val="32"/>
          <w:szCs w:val="32"/>
        </w:rPr>
        <w:t>评审数据产生、数据记录、数据传递、数据</w:t>
      </w:r>
      <w:r>
        <w:rPr>
          <w:rFonts w:hint="eastAsia" w:ascii="仿宋_GB2312" w:hAnsi="仿宋" w:eastAsia="仿宋_GB2312"/>
          <w:sz w:val="32"/>
          <w:szCs w:val="32"/>
        </w:rPr>
        <w:t>汇总</w:t>
      </w:r>
      <w:r>
        <w:rPr>
          <w:rFonts w:hint="eastAsia" w:ascii="仿宋_GB2312" w:hAnsi="仿宋" w:eastAsia="仿宋_GB2312" w:cs="Arial"/>
          <w:sz w:val="32"/>
          <w:szCs w:val="32"/>
        </w:rPr>
        <w:t>和数据报告的信息流，判断重点碳排放单位是否以透明的方式获得、记录、分析二氧化碳排放相关数据，包括活动水平数据、排放因子数据等；</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sz w:val="32"/>
          <w:szCs w:val="32"/>
        </w:rPr>
        <w:t>交叉</w:t>
      </w:r>
      <w:r>
        <w:rPr>
          <w:rFonts w:hint="eastAsia" w:ascii="仿宋_GB2312" w:hAnsi="仿宋" w:eastAsia="仿宋_GB2312" w:cs="Arial"/>
          <w:sz w:val="32"/>
          <w:szCs w:val="32"/>
        </w:rPr>
        <w:t>核对排放报告</w:t>
      </w:r>
      <w:r>
        <w:rPr>
          <w:rFonts w:hint="eastAsia" w:ascii="仿宋_GB2312" w:hAnsi="仿宋" w:eastAsia="仿宋_GB2312"/>
          <w:sz w:val="32"/>
          <w:szCs w:val="32"/>
        </w:rPr>
        <w:t>提供</w:t>
      </w:r>
      <w:r>
        <w:rPr>
          <w:rFonts w:hint="eastAsia" w:ascii="仿宋_GB2312" w:hAnsi="仿宋" w:eastAsia="仿宋_GB2312" w:cs="Arial"/>
          <w:sz w:val="32"/>
          <w:szCs w:val="32"/>
        </w:rPr>
        <w:t>的信息和其他来源的数据（比如运行日志，库存，采购记录或其他相似数据来源），判断排放量的计算和相关数据的确定是否存在系统性的错误或者人为的故意错误，排放量计算结果是否能够真实地反映报告企业（单位）的实际情况；</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cs="Arial"/>
          <w:sz w:val="32"/>
          <w:szCs w:val="32"/>
        </w:rPr>
        <w:t>评审在确定二氧化碳排放时所</w:t>
      </w:r>
      <w:r>
        <w:rPr>
          <w:rFonts w:hint="eastAsia" w:ascii="仿宋_GB2312" w:hAnsi="仿宋" w:eastAsia="仿宋_GB2312"/>
          <w:sz w:val="32"/>
          <w:szCs w:val="32"/>
        </w:rPr>
        <w:t>做</w:t>
      </w:r>
      <w:r>
        <w:rPr>
          <w:rFonts w:hint="eastAsia" w:ascii="仿宋_GB2312" w:hAnsi="仿宋" w:eastAsia="仿宋_GB2312" w:cs="Arial"/>
          <w:sz w:val="32"/>
          <w:szCs w:val="32"/>
        </w:rPr>
        <w:t>的计算和假设，复原、验算排放的计算，判断计算结果是否正确；</w:t>
      </w:r>
    </w:p>
    <w:p>
      <w:pPr>
        <w:pStyle w:val="58"/>
        <w:numPr>
          <w:ilvl w:val="0"/>
          <w:numId w:val="3"/>
        </w:numPr>
        <w:spacing w:line="560" w:lineRule="exact"/>
        <w:ind w:left="0" w:firstLine="480"/>
        <w:rPr>
          <w:rFonts w:ascii="仿宋_GB2312" w:hAnsi="仿宋" w:eastAsia="仿宋_GB2312" w:cs="Arial"/>
          <w:sz w:val="32"/>
          <w:szCs w:val="32"/>
        </w:rPr>
      </w:pPr>
      <w:r>
        <w:rPr>
          <w:rFonts w:hint="eastAsia" w:ascii="仿宋_GB2312" w:hAnsi="仿宋" w:eastAsia="仿宋_GB2312" w:cs="Arial"/>
          <w:sz w:val="32"/>
          <w:szCs w:val="32"/>
        </w:rPr>
        <w:t>评审企业建立的核算和报告质量管理体系是否符合要求。</w:t>
      </w:r>
    </w:p>
    <w:p>
      <w:pPr>
        <w:spacing w:after="0" w:line="560" w:lineRule="exact"/>
        <w:ind w:firstLine="656" w:firstLineChars="205"/>
        <w:jc w:val="both"/>
        <w:outlineLvl w:val="0"/>
        <w:rPr>
          <w:rFonts w:ascii="黑体" w:hAnsi="黑体" w:eastAsia="黑体"/>
          <w:sz w:val="32"/>
          <w:szCs w:val="32"/>
        </w:rPr>
      </w:pPr>
      <w:bookmarkStart w:id="10" w:name="_Toc353116429"/>
      <w:r>
        <w:rPr>
          <w:rFonts w:hint="eastAsia" w:ascii="黑体" w:hAnsi="黑体" w:eastAsia="黑体"/>
          <w:sz w:val="32"/>
          <w:szCs w:val="32"/>
        </w:rPr>
        <w:t>四、二氧化碳排放核查报告基本</w:t>
      </w:r>
      <w:bookmarkEnd w:id="10"/>
      <w:r>
        <w:rPr>
          <w:rFonts w:hint="eastAsia" w:ascii="黑体" w:hAnsi="黑体" w:eastAsia="黑体"/>
          <w:sz w:val="32"/>
          <w:szCs w:val="32"/>
        </w:rPr>
        <w:t>框架</w:t>
      </w:r>
    </w:p>
    <w:p>
      <w:pPr>
        <w:spacing w:after="0" w:line="560" w:lineRule="exact"/>
        <w:ind w:firstLine="659" w:firstLineChars="205"/>
        <w:jc w:val="both"/>
        <w:outlineLvl w:val="0"/>
        <w:rPr>
          <w:rFonts w:ascii="楷体_GB2312" w:hAnsi="仿宋" w:eastAsia="楷体_GB2312"/>
          <w:b/>
          <w:sz w:val="32"/>
          <w:szCs w:val="32"/>
        </w:rPr>
      </w:pPr>
      <w:bookmarkStart w:id="11" w:name="_Toc353116430"/>
      <w:bookmarkStart w:id="12" w:name="_Toc314496529"/>
      <w:r>
        <w:rPr>
          <w:rFonts w:hint="eastAsia" w:ascii="楷体_GB2312" w:hAnsi="仿宋" w:eastAsia="楷体_GB2312"/>
          <w:b/>
          <w:sz w:val="32"/>
          <w:szCs w:val="32"/>
        </w:rPr>
        <w:t>（一）报告文本</w:t>
      </w:r>
      <w:bookmarkEnd w:id="11"/>
      <w:bookmarkEnd w:id="12"/>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二氧化碳排放核查报告文本应包括以下内容，并按如下顺序装订成册：</w:t>
      </w:r>
    </w:p>
    <w:p>
      <w:pPr>
        <w:widowControl w:val="0"/>
        <w:numPr>
          <w:ilvl w:val="0"/>
          <w:numId w:val="4"/>
        </w:numPr>
        <w:spacing w:after="0" w:line="560" w:lineRule="exact"/>
        <w:ind w:firstLine="240"/>
        <w:jc w:val="both"/>
        <w:rPr>
          <w:rFonts w:ascii="仿宋_GB2312" w:hAnsi="仿宋" w:eastAsia="仿宋_GB2312"/>
          <w:sz w:val="32"/>
          <w:szCs w:val="32"/>
        </w:rPr>
      </w:pPr>
      <w:r>
        <w:rPr>
          <w:rFonts w:hint="eastAsia" w:ascii="仿宋_GB2312" w:hAnsi="仿宋" w:eastAsia="仿宋_GB2312"/>
          <w:sz w:val="32"/>
          <w:szCs w:val="32"/>
        </w:rPr>
        <w:t>1.封面</w:t>
      </w:r>
    </w:p>
    <w:p>
      <w:pPr>
        <w:widowControl w:val="0"/>
        <w:numPr>
          <w:ilvl w:val="0"/>
          <w:numId w:val="4"/>
        </w:numPr>
        <w:spacing w:after="0" w:line="560" w:lineRule="exact"/>
        <w:ind w:firstLine="240"/>
        <w:jc w:val="both"/>
        <w:rPr>
          <w:rFonts w:ascii="仿宋_GB2312" w:hAnsi="仿宋" w:eastAsia="仿宋_GB2312"/>
          <w:sz w:val="32"/>
          <w:szCs w:val="32"/>
        </w:rPr>
      </w:pPr>
      <w:r>
        <w:rPr>
          <w:rFonts w:hint="eastAsia" w:ascii="仿宋_GB2312" w:hAnsi="仿宋" w:eastAsia="仿宋_GB2312"/>
          <w:sz w:val="32"/>
          <w:szCs w:val="32"/>
        </w:rPr>
        <w:t>2.扉页</w:t>
      </w:r>
    </w:p>
    <w:p>
      <w:pPr>
        <w:widowControl w:val="0"/>
        <w:numPr>
          <w:ilvl w:val="0"/>
          <w:numId w:val="4"/>
        </w:numPr>
        <w:spacing w:after="0" w:line="560" w:lineRule="exact"/>
        <w:ind w:firstLine="240"/>
        <w:jc w:val="both"/>
        <w:rPr>
          <w:rFonts w:ascii="仿宋_GB2312" w:hAnsi="仿宋" w:eastAsia="仿宋_GB2312"/>
          <w:sz w:val="32"/>
          <w:szCs w:val="32"/>
        </w:rPr>
      </w:pPr>
      <w:r>
        <w:rPr>
          <w:rFonts w:hint="eastAsia" w:ascii="仿宋_GB2312" w:hAnsi="仿宋" w:eastAsia="仿宋_GB2312"/>
          <w:sz w:val="32"/>
          <w:szCs w:val="32"/>
        </w:rPr>
        <w:t>3.目录</w:t>
      </w:r>
    </w:p>
    <w:p>
      <w:pPr>
        <w:widowControl w:val="0"/>
        <w:numPr>
          <w:ilvl w:val="0"/>
          <w:numId w:val="4"/>
        </w:numPr>
        <w:spacing w:after="0" w:line="560" w:lineRule="exact"/>
        <w:ind w:firstLine="240"/>
        <w:jc w:val="both"/>
        <w:rPr>
          <w:rFonts w:ascii="仿宋_GB2312" w:hAnsi="仿宋" w:eastAsia="仿宋_GB2312"/>
          <w:sz w:val="32"/>
          <w:szCs w:val="32"/>
        </w:rPr>
      </w:pPr>
      <w:r>
        <w:rPr>
          <w:rFonts w:hint="eastAsia" w:ascii="仿宋_GB2312" w:hAnsi="仿宋" w:eastAsia="仿宋_GB2312"/>
          <w:sz w:val="32"/>
          <w:szCs w:val="32"/>
        </w:rPr>
        <w:t>4.正文</w:t>
      </w:r>
    </w:p>
    <w:p>
      <w:pPr>
        <w:widowControl w:val="0"/>
        <w:numPr>
          <w:ilvl w:val="0"/>
          <w:numId w:val="4"/>
        </w:numPr>
        <w:spacing w:after="0" w:line="560" w:lineRule="exact"/>
        <w:ind w:firstLine="240"/>
        <w:jc w:val="both"/>
        <w:rPr>
          <w:rFonts w:ascii="仿宋_GB2312" w:hAnsi="仿宋" w:eastAsia="仿宋_GB2312"/>
          <w:sz w:val="32"/>
          <w:szCs w:val="32"/>
        </w:rPr>
      </w:pPr>
      <w:r>
        <w:rPr>
          <w:rFonts w:hint="eastAsia" w:ascii="仿宋_GB2312" w:hAnsi="仿宋" w:eastAsia="仿宋_GB2312"/>
          <w:sz w:val="32"/>
          <w:szCs w:val="32"/>
        </w:rPr>
        <w:t>5.参考文件</w:t>
      </w:r>
    </w:p>
    <w:p>
      <w:pPr>
        <w:spacing w:after="0" w:line="560" w:lineRule="exact"/>
        <w:ind w:firstLine="659" w:firstLineChars="205"/>
        <w:jc w:val="both"/>
        <w:outlineLvl w:val="0"/>
        <w:rPr>
          <w:rFonts w:ascii="楷体_GB2312" w:hAnsi="仿宋" w:eastAsia="楷体_GB2312"/>
          <w:b/>
          <w:sz w:val="32"/>
          <w:szCs w:val="32"/>
        </w:rPr>
      </w:pPr>
      <w:bookmarkStart w:id="13" w:name="_Toc314496530"/>
      <w:bookmarkStart w:id="14" w:name="_Toc353116431"/>
      <w:r>
        <w:rPr>
          <w:rFonts w:hint="eastAsia" w:ascii="楷体_GB2312" w:hAnsi="仿宋" w:eastAsia="楷体_GB2312"/>
          <w:b/>
          <w:sz w:val="32"/>
          <w:szCs w:val="32"/>
        </w:rPr>
        <w:t>（二）报告正文</w:t>
      </w:r>
      <w:bookmarkEnd w:id="13"/>
      <w:bookmarkEnd w:id="14"/>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报告正文应包括如下内容：</w:t>
      </w:r>
    </w:p>
    <w:p>
      <w:pPr>
        <w:widowControl w:val="0"/>
        <w:numPr>
          <w:ilvl w:val="0"/>
          <w:numId w:val="5"/>
        </w:numPr>
        <w:spacing w:after="0" w:line="560" w:lineRule="exact"/>
        <w:ind w:firstLine="240" w:firstLineChars="75"/>
        <w:jc w:val="both"/>
        <w:rPr>
          <w:rFonts w:ascii="仿宋_GB2312" w:hAnsi="仿宋" w:eastAsia="仿宋_GB2312"/>
          <w:sz w:val="32"/>
          <w:szCs w:val="32"/>
        </w:rPr>
      </w:pPr>
      <w:r>
        <w:rPr>
          <w:rFonts w:hint="eastAsia" w:ascii="仿宋_GB2312" w:hAnsi="仿宋" w:eastAsia="仿宋_GB2312"/>
          <w:sz w:val="32"/>
          <w:szCs w:val="32"/>
        </w:rPr>
        <w:t>1. 概述</w:t>
      </w:r>
    </w:p>
    <w:p>
      <w:pPr>
        <w:widowControl w:val="0"/>
        <w:numPr>
          <w:ilvl w:val="0"/>
          <w:numId w:val="5"/>
        </w:numPr>
        <w:spacing w:after="0" w:line="560" w:lineRule="exact"/>
        <w:ind w:firstLine="240" w:firstLineChars="75"/>
        <w:jc w:val="both"/>
        <w:rPr>
          <w:rFonts w:ascii="仿宋_GB2312" w:hAnsi="仿宋" w:eastAsia="仿宋_GB2312"/>
          <w:sz w:val="32"/>
          <w:szCs w:val="32"/>
        </w:rPr>
      </w:pPr>
      <w:r>
        <w:rPr>
          <w:rFonts w:hint="eastAsia" w:ascii="仿宋_GB2312" w:hAnsi="仿宋" w:eastAsia="仿宋_GB2312"/>
          <w:sz w:val="32"/>
          <w:szCs w:val="32"/>
        </w:rPr>
        <w:t>2. 核查过程和方法</w:t>
      </w:r>
    </w:p>
    <w:p>
      <w:pPr>
        <w:widowControl w:val="0"/>
        <w:numPr>
          <w:ilvl w:val="0"/>
          <w:numId w:val="5"/>
        </w:numPr>
        <w:spacing w:after="0" w:line="560" w:lineRule="exact"/>
        <w:ind w:firstLine="240" w:firstLineChars="75"/>
        <w:jc w:val="both"/>
        <w:rPr>
          <w:rFonts w:ascii="仿宋_GB2312" w:hAnsi="仿宋" w:eastAsia="仿宋_GB2312"/>
          <w:sz w:val="32"/>
          <w:szCs w:val="32"/>
        </w:rPr>
      </w:pPr>
      <w:r>
        <w:rPr>
          <w:rFonts w:hint="eastAsia" w:ascii="仿宋_GB2312" w:hAnsi="仿宋" w:eastAsia="仿宋_GB2312"/>
          <w:sz w:val="32"/>
          <w:szCs w:val="32"/>
        </w:rPr>
        <w:t>3. 核查发现</w:t>
      </w:r>
    </w:p>
    <w:p>
      <w:pPr>
        <w:widowControl w:val="0"/>
        <w:numPr>
          <w:ilvl w:val="0"/>
          <w:numId w:val="5"/>
        </w:numPr>
        <w:spacing w:after="0" w:line="560" w:lineRule="exact"/>
        <w:ind w:firstLine="240" w:firstLineChars="75"/>
        <w:jc w:val="both"/>
        <w:rPr>
          <w:rFonts w:ascii="仿宋_GB2312" w:hAnsi="仿宋" w:eastAsia="仿宋_GB2312"/>
          <w:sz w:val="32"/>
          <w:szCs w:val="32"/>
        </w:rPr>
      </w:pPr>
      <w:r>
        <w:rPr>
          <w:rFonts w:hint="eastAsia" w:ascii="仿宋_GB2312" w:hAnsi="仿宋" w:eastAsia="仿宋_GB2312"/>
          <w:sz w:val="32"/>
          <w:szCs w:val="32"/>
        </w:rPr>
        <w:t>4. 核查结论</w:t>
      </w:r>
    </w:p>
    <w:p>
      <w:pPr>
        <w:widowControl w:val="0"/>
        <w:numPr>
          <w:ilvl w:val="0"/>
          <w:numId w:val="5"/>
        </w:numPr>
        <w:spacing w:after="0" w:line="560" w:lineRule="exact"/>
        <w:ind w:firstLine="240" w:firstLineChars="75"/>
        <w:jc w:val="both"/>
        <w:rPr>
          <w:rFonts w:ascii="仿宋_GB2312" w:hAnsi="仿宋" w:eastAsia="仿宋_GB2312"/>
          <w:sz w:val="32"/>
          <w:szCs w:val="32"/>
        </w:rPr>
      </w:pPr>
      <w:r>
        <w:rPr>
          <w:rFonts w:hint="eastAsia" w:ascii="仿宋_GB2312" w:hAnsi="仿宋" w:eastAsia="仿宋_GB2312"/>
          <w:sz w:val="32"/>
          <w:szCs w:val="32"/>
        </w:rPr>
        <w:t>5. 附件</w:t>
      </w:r>
    </w:p>
    <w:p>
      <w:pPr>
        <w:spacing w:after="0" w:line="560" w:lineRule="exact"/>
        <w:ind w:firstLine="656" w:firstLineChars="205"/>
        <w:jc w:val="both"/>
        <w:outlineLvl w:val="0"/>
        <w:rPr>
          <w:rFonts w:ascii="黑体" w:hAnsi="黑体" w:eastAsia="黑体"/>
          <w:sz w:val="32"/>
          <w:szCs w:val="32"/>
        </w:rPr>
      </w:pPr>
      <w:bookmarkStart w:id="15" w:name="_Toc353116432"/>
      <w:r>
        <w:rPr>
          <w:rFonts w:hint="eastAsia" w:ascii="黑体" w:hAnsi="黑体" w:eastAsia="黑体"/>
          <w:sz w:val="32"/>
          <w:szCs w:val="32"/>
        </w:rPr>
        <w:t>五、二氧化碳排放核查报告编写基本内容</w:t>
      </w:r>
      <w:bookmarkEnd w:id="15"/>
    </w:p>
    <w:p>
      <w:pPr>
        <w:spacing w:after="0" w:line="560" w:lineRule="exact"/>
        <w:ind w:firstLine="659" w:firstLineChars="205"/>
        <w:jc w:val="both"/>
        <w:outlineLvl w:val="0"/>
        <w:rPr>
          <w:rFonts w:ascii="楷体_GB2312" w:hAnsi="仿宋" w:eastAsia="楷体_GB2312"/>
          <w:b/>
          <w:sz w:val="32"/>
          <w:szCs w:val="32"/>
        </w:rPr>
      </w:pPr>
      <w:bookmarkStart w:id="16" w:name="_Toc353116433"/>
      <w:r>
        <w:rPr>
          <w:rFonts w:hint="eastAsia" w:ascii="楷体_GB2312" w:hAnsi="仿宋" w:eastAsia="楷体_GB2312"/>
          <w:b/>
          <w:sz w:val="32"/>
          <w:szCs w:val="32"/>
        </w:rPr>
        <w:t>（一）封面</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1．重点碳排放单位名称</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“重点碳排放单位”是北京市行政区域内年二氧化碳排放量大于5000吨（含）的单位。</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注1：重点碳排放单位的名称应与市主管部门公布清单中的名称一致。</w:t>
      </w:r>
    </w:p>
    <w:p>
      <w:pPr>
        <w:spacing w:after="0" w:line="560" w:lineRule="exact"/>
        <w:ind w:firstLine="656" w:firstLineChars="205"/>
        <w:rPr>
          <w:rFonts w:ascii="仿宋_GB2312" w:hAnsi="仿宋" w:eastAsia="仿宋_GB2312"/>
          <w:sz w:val="32"/>
          <w:szCs w:val="32"/>
        </w:rPr>
      </w:pPr>
      <w:r>
        <w:rPr>
          <w:rFonts w:hint="eastAsia" w:ascii="仿宋_GB2312" w:hAnsi="仿宋" w:eastAsia="仿宋_GB2312"/>
          <w:sz w:val="32"/>
          <w:szCs w:val="32"/>
        </w:rPr>
        <w:t>注2：自愿参与碳排放权交易的一般二氧化碳报告单位的排放报告及其核查要求同重点碳排放单位。</w:t>
      </w:r>
    </w:p>
    <w:p>
      <w:pPr>
        <w:spacing w:after="0" w:line="560" w:lineRule="exact"/>
        <w:ind w:firstLine="656" w:firstLineChars="205"/>
        <w:rPr>
          <w:rFonts w:ascii="仿宋_GB2312" w:hAnsi="仿宋" w:eastAsia="仿宋_GB2312"/>
          <w:sz w:val="32"/>
          <w:szCs w:val="32"/>
        </w:rPr>
      </w:pPr>
      <w:r>
        <w:rPr>
          <w:rFonts w:hint="eastAsia" w:ascii="仿宋_GB2312" w:hAnsi="仿宋" w:eastAsia="仿宋_GB2312"/>
          <w:sz w:val="32"/>
          <w:szCs w:val="32"/>
        </w:rPr>
        <w:t>2．报告年度</w:t>
      </w:r>
    </w:p>
    <w:p>
      <w:pPr>
        <w:spacing w:after="0" w:line="560" w:lineRule="exact"/>
        <w:ind w:firstLine="656" w:firstLineChars="205"/>
        <w:rPr>
          <w:rFonts w:ascii="仿宋_GB2312" w:hAnsi="仿宋" w:eastAsia="仿宋_GB2312"/>
          <w:sz w:val="32"/>
          <w:szCs w:val="32"/>
        </w:rPr>
      </w:pPr>
      <w:r>
        <w:rPr>
          <w:rFonts w:hint="eastAsia" w:ascii="仿宋_GB2312" w:hAnsi="仿宋" w:eastAsia="仿宋_GB2312"/>
          <w:sz w:val="32"/>
          <w:szCs w:val="32"/>
        </w:rPr>
        <w:t xml:space="preserve">3．核查机构名称（公章）                      </w:t>
      </w:r>
    </w:p>
    <w:p>
      <w:pPr>
        <w:spacing w:after="0" w:line="560" w:lineRule="exact"/>
        <w:ind w:firstLine="656" w:firstLineChars="205"/>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．报告日期</w:t>
      </w:r>
    </w:p>
    <w:p>
      <w:pPr>
        <w:spacing w:after="0" w:line="560" w:lineRule="exact"/>
        <w:ind w:firstLine="656" w:firstLineChars="205"/>
        <w:rPr>
          <w:rFonts w:ascii="仿宋_GB2312" w:hAnsi="仿宋" w:eastAsia="仿宋_GB2312"/>
          <w:sz w:val="32"/>
          <w:szCs w:val="32"/>
        </w:rPr>
      </w:pPr>
      <w:r>
        <w:rPr>
          <w:rFonts w:hint="eastAsia" w:ascii="仿宋_GB2312" w:hAnsi="仿宋" w:eastAsia="仿宋_GB2312"/>
          <w:sz w:val="32"/>
          <w:szCs w:val="32"/>
        </w:rPr>
        <w:t>报告日期应当与扉页中的批准人签署日期一致。</w:t>
      </w:r>
    </w:p>
    <w:p>
      <w:pPr>
        <w:spacing w:after="0" w:line="560" w:lineRule="exact"/>
        <w:ind w:firstLine="659" w:firstLineChars="205"/>
        <w:jc w:val="both"/>
        <w:outlineLvl w:val="0"/>
        <w:rPr>
          <w:rFonts w:ascii="楷体_GB2312" w:hAnsi="仿宋" w:eastAsia="楷体_GB2312"/>
          <w:b/>
          <w:sz w:val="32"/>
          <w:szCs w:val="32"/>
        </w:rPr>
      </w:pPr>
      <w:r>
        <w:rPr>
          <w:rFonts w:hint="eastAsia" w:ascii="楷体_GB2312" w:hAnsi="仿宋" w:eastAsia="楷体_GB2312"/>
          <w:b/>
          <w:sz w:val="32"/>
          <w:szCs w:val="32"/>
        </w:rPr>
        <w:t>（二）扉页</w:t>
      </w:r>
      <w:bookmarkEnd w:id="16"/>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1.委托方名称、地址、联系人及联系方式；</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“委托方”是与核查机构签署合同的机构，委托方的名称应当与核查合同中的甲方名称相一致。</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2．重点碳排放单位名称、地址、联系人及联系方式；</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3．二氧化碳排放报告初始版本日期及最终版本日期</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二氧化碳排放报告（初始）为重点碳排放单位提交给核查机构进行核查的排放报告。最终版本是重点碳排放单位根据核查机构提出的不符合整改后的修订版本。</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4．报告期</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报告期为“二氧化碳排放报告”覆盖的时期。</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5.核算和报告边界</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详细</w:t>
      </w:r>
      <w:r>
        <w:rPr>
          <w:rFonts w:ascii="仿宋_GB2312" w:hAnsi="仿宋" w:eastAsia="仿宋_GB2312"/>
          <w:sz w:val="32"/>
          <w:szCs w:val="32"/>
        </w:rPr>
        <w:t>表述报告期内</w:t>
      </w:r>
      <w:r>
        <w:rPr>
          <w:rFonts w:hint="eastAsia" w:ascii="仿宋_GB2312" w:hAnsi="仿宋" w:eastAsia="仿宋_GB2312"/>
          <w:sz w:val="32"/>
          <w:szCs w:val="32"/>
        </w:rPr>
        <w:t>的</w:t>
      </w:r>
      <w:r>
        <w:rPr>
          <w:rFonts w:ascii="仿宋_GB2312" w:hAnsi="仿宋" w:eastAsia="仿宋_GB2312"/>
          <w:sz w:val="32"/>
          <w:szCs w:val="32"/>
        </w:rPr>
        <w:t>核算边界，以及与</w:t>
      </w:r>
      <w:r>
        <w:rPr>
          <w:rFonts w:hint="eastAsia" w:ascii="仿宋_GB2312" w:hAnsi="仿宋" w:eastAsia="仿宋_GB2312"/>
          <w:sz w:val="32"/>
          <w:szCs w:val="32"/>
        </w:rPr>
        <w:t>历史</w:t>
      </w:r>
      <w:r>
        <w:rPr>
          <w:rFonts w:ascii="仿宋_GB2312" w:hAnsi="仿宋" w:eastAsia="仿宋_GB2312"/>
          <w:sz w:val="32"/>
          <w:szCs w:val="32"/>
        </w:rPr>
        <w:t>基准年和上一年度的</w:t>
      </w:r>
      <w:r>
        <w:rPr>
          <w:rFonts w:hint="eastAsia" w:ascii="仿宋_GB2312" w:hAnsi="仿宋" w:eastAsia="仿宋_GB2312"/>
          <w:sz w:val="32"/>
          <w:szCs w:val="32"/>
        </w:rPr>
        <w:t>核算</w:t>
      </w:r>
      <w:r>
        <w:rPr>
          <w:rFonts w:ascii="仿宋_GB2312" w:hAnsi="仿宋" w:eastAsia="仿宋_GB2312"/>
          <w:sz w:val="32"/>
          <w:szCs w:val="32"/>
        </w:rPr>
        <w:t>边界变化情况。</w:t>
      </w:r>
      <w:r>
        <w:rPr>
          <w:rFonts w:hint="eastAsia" w:ascii="仿宋_GB2312" w:hAnsi="仿宋" w:eastAsia="仿宋_GB2312"/>
          <w:sz w:val="32"/>
          <w:szCs w:val="32"/>
        </w:rPr>
        <w:t>例如：对于物业企业需按照不同服务业态（居民、商业、工业等），对建筑面积、实际物业管理面积、实际运营面积、建筑入住率等</w:t>
      </w:r>
      <w:r>
        <w:rPr>
          <w:rFonts w:ascii="仿宋_GB2312" w:hAnsi="仿宋" w:eastAsia="仿宋_GB2312"/>
          <w:sz w:val="32"/>
          <w:szCs w:val="32"/>
        </w:rPr>
        <w:t>详细情况进行核实。</w:t>
      </w:r>
    </w:p>
    <w:p>
      <w:pPr>
        <w:spacing w:after="0" w:line="560" w:lineRule="exact"/>
        <w:ind w:firstLine="656" w:firstLineChars="205"/>
        <w:jc w:val="both"/>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.二氧化碳排放量</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包括报告期内排放单位的二氧化碳排放量、退出</w:t>
      </w:r>
      <w:r>
        <w:rPr>
          <w:rFonts w:ascii="仿宋_GB2312" w:hAnsi="仿宋" w:eastAsia="仿宋_GB2312"/>
          <w:sz w:val="32"/>
          <w:szCs w:val="32"/>
        </w:rPr>
        <w:t>的</w:t>
      </w:r>
      <w:r>
        <w:rPr>
          <w:rFonts w:hint="eastAsia" w:ascii="仿宋_GB2312" w:hAnsi="仿宋" w:eastAsia="仿宋_GB2312"/>
          <w:sz w:val="32"/>
          <w:szCs w:val="32"/>
        </w:rPr>
        <w:t>既有设施在历史基准年的排放量及</w:t>
      </w:r>
      <w:r>
        <w:rPr>
          <w:rFonts w:ascii="仿宋_GB2312" w:hAnsi="仿宋" w:eastAsia="仿宋_GB2312"/>
          <w:sz w:val="32"/>
          <w:szCs w:val="32"/>
        </w:rPr>
        <w:t>排放强度</w:t>
      </w:r>
      <w:r>
        <w:rPr>
          <w:rFonts w:hint="eastAsia" w:ascii="仿宋_GB2312" w:hAnsi="仿宋" w:eastAsia="仿宋_GB2312"/>
          <w:sz w:val="32"/>
          <w:szCs w:val="32"/>
        </w:rPr>
        <w:t>、新增设施的排放量及排放强度和替代既有设施的新增设施排放量。</w:t>
      </w:r>
    </w:p>
    <w:p>
      <w:pPr>
        <w:spacing w:after="0" w:line="560" w:lineRule="exact"/>
        <w:ind w:firstLine="656" w:firstLineChars="205"/>
        <w:jc w:val="both"/>
        <w:rPr>
          <w:rFonts w:ascii="仿宋_GB2312" w:hAnsi="仿宋" w:eastAsia="仿宋_GB2312"/>
          <w:sz w:val="32"/>
          <w:szCs w:val="32"/>
        </w:rPr>
      </w:pPr>
      <w:r>
        <w:rPr>
          <w:rFonts w:ascii="仿宋_GB2312" w:hAnsi="仿宋" w:eastAsia="仿宋_GB2312"/>
          <w:sz w:val="32"/>
          <w:szCs w:val="32"/>
        </w:rPr>
        <w:t>7</w:t>
      </w:r>
      <w:r>
        <w:rPr>
          <w:rFonts w:hint="eastAsia" w:ascii="仿宋_GB2312" w:hAnsi="仿宋" w:eastAsia="仿宋_GB2312"/>
          <w:sz w:val="32"/>
          <w:szCs w:val="32"/>
        </w:rPr>
        <w:t>.重点碳排放单位所属行业领域</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在此处按如下代码填写，例如“01／02／03／04／05／06／07/</w:t>
      </w:r>
      <w:r>
        <w:rPr>
          <w:rFonts w:ascii="仿宋_GB2312" w:hAnsi="仿宋" w:eastAsia="仿宋_GB2312"/>
          <w:sz w:val="32"/>
          <w:szCs w:val="32"/>
        </w:rPr>
        <w:t>08</w:t>
      </w:r>
      <w:r>
        <w:rPr>
          <w:rFonts w:hint="eastAsia" w:ascii="仿宋_GB2312" w:hAnsi="仿宋" w:eastAsia="仿宋_GB2312"/>
          <w:sz w:val="32"/>
          <w:szCs w:val="32"/>
        </w:rPr>
        <w:t>”。（01为“热力生产和供应”；02为“火力发电”；03为“水泥制造”；04为“石化生产”；05为“其他行业”；06为“其他服务业”；07为“交通运输业”； 0</w:t>
      </w:r>
      <w:r>
        <w:rPr>
          <w:rFonts w:ascii="仿宋_GB2312" w:hAnsi="仿宋" w:eastAsia="仿宋_GB2312"/>
          <w:sz w:val="32"/>
          <w:szCs w:val="32"/>
        </w:rPr>
        <w:t>8</w:t>
      </w:r>
      <w:r>
        <w:rPr>
          <w:rFonts w:hint="eastAsia" w:ascii="仿宋_GB2312" w:hAnsi="仿宋" w:eastAsia="仿宋_GB2312"/>
          <w:sz w:val="32"/>
          <w:szCs w:val="32"/>
        </w:rPr>
        <w:t>为“民用航空运输业”）</w:t>
      </w:r>
    </w:p>
    <w:p>
      <w:pPr>
        <w:spacing w:after="0" w:line="560" w:lineRule="exact"/>
        <w:ind w:firstLine="656" w:firstLineChars="205"/>
        <w:rPr>
          <w:rFonts w:ascii="仿宋_GB2312" w:hAnsi="仿宋" w:eastAsia="仿宋_GB2312"/>
          <w:sz w:val="32"/>
          <w:szCs w:val="32"/>
        </w:rPr>
      </w:pPr>
      <w:r>
        <w:rPr>
          <w:rFonts w:ascii="仿宋_GB2312" w:hAnsi="仿宋" w:eastAsia="仿宋_GB2312"/>
          <w:sz w:val="32"/>
          <w:szCs w:val="32"/>
        </w:rPr>
        <w:t>8</w:t>
      </w:r>
      <w:r>
        <w:rPr>
          <w:rFonts w:hint="eastAsia" w:ascii="仿宋_GB2312" w:hAnsi="仿宋" w:eastAsia="仿宋_GB2312"/>
          <w:sz w:val="32"/>
          <w:szCs w:val="32"/>
        </w:rPr>
        <w:t>．标准及方法学</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在此栏填写适用的地方标准或要求。</w:t>
      </w:r>
    </w:p>
    <w:p>
      <w:pPr>
        <w:spacing w:after="0" w:line="560" w:lineRule="exact"/>
        <w:ind w:firstLine="656" w:firstLineChars="205"/>
        <w:rPr>
          <w:rFonts w:ascii="仿宋_GB2312" w:hAnsi="仿宋" w:eastAsia="仿宋_GB2312"/>
          <w:sz w:val="32"/>
          <w:szCs w:val="32"/>
        </w:rPr>
      </w:pPr>
      <w:r>
        <w:rPr>
          <w:rFonts w:ascii="仿宋_GB2312" w:hAnsi="仿宋" w:eastAsia="仿宋_GB2312"/>
          <w:sz w:val="32"/>
          <w:szCs w:val="32"/>
        </w:rPr>
        <w:t>9</w:t>
      </w:r>
      <w:r>
        <w:rPr>
          <w:rFonts w:hint="eastAsia" w:ascii="仿宋_GB2312" w:hAnsi="仿宋" w:eastAsia="仿宋_GB2312"/>
          <w:sz w:val="32"/>
          <w:szCs w:val="32"/>
        </w:rPr>
        <w:t>．核查结论</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此栏的核查结论应与报告正文中的核查结论一致（详见附件2</w:t>
      </w:r>
      <w:r>
        <w:rPr>
          <w:rFonts w:ascii="仿宋_GB2312" w:hAnsi="仿宋" w:eastAsia="仿宋_GB2312"/>
          <w:sz w:val="32"/>
          <w:szCs w:val="32"/>
        </w:rPr>
        <w:t>的核查结论模板</w:t>
      </w:r>
      <w:r>
        <w:rPr>
          <w:rFonts w:hint="eastAsia" w:ascii="仿宋_GB2312" w:hAnsi="仿宋" w:eastAsia="仿宋_GB2312"/>
          <w:sz w:val="32"/>
          <w:szCs w:val="32"/>
        </w:rPr>
        <w:t>）。</w:t>
      </w:r>
    </w:p>
    <w:p>
      <w:pPr>
        <w:spacing w:after="0" w:line="560" w:lineRule="exact"/>
        <w:ind w:firstLine="656" w:firstLineChars="205"/>
        <w:rPr>
          <w:rFonts w:ascii="仿宋_GB2312" w:hAnsi="仿宋" w:eastAsia="仿宋_GB2312"/>
          <w:sz w:val="32"/>
          <w:szCs w:val="32"/>
        </w:rPr>
      </w:pPr>
      <w:r>
        <w:rPr>
          <w:rFonts w:ascii="仿宋_GB2312" w:hAnsi="仿宋" w:eastAsia="仿宋_GB2312"/>
          <w:sz w:val="32"/>
          <w:szCs w:val="32"/>
        </w:rPr>
        <w:t>10</w:t>
      </w:r>
      <w:r>
        <w:rPr>
          <w:rFonts w:hint="eastAsia" w:ascii="仿宋_GB2312" w:hAnsi="仿宋" w:eastAsia="仿宋_GB2312"/>
          <w:sz w:val="32"/>
          <w:szCs w:val="32"/>
        </w:rPr>
        <w:t>．核查组组长</w:t>
      </w:r>
    </w:p>
    <w:p>
      <w:pPr>
        <w:spacing w:after="0" w:line="560" w:lineRule="exact"/>
        <w:ind w:firstLine="656" w:firstLineChars="205"/>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1</w:t>
      </w:r>
      <w:r>
        <w:rPr>
          <w:rFonts w:hint="eastAsia" w:ascii="仿宋_GB2312" w:hAnsi="仿宋" w:eastAsia="仿宋_GB2312"/>
          <w:sz w:val="32"/>
          <w:szCs w:val="32"/>
        </w:rPr>
        <w:t>．核查组成员</w:t>
      </w:r>
    </w:p>
    <w:p>
      <w:pPr>
        <w:spacing w:after="0" w:line="560" w:lineRule="exact"/>
        <w:ind w:firstLine="656" w:firstLineChars="205"/>
        <w:jc w:val="both"/>
        <w:rPr>
          <w:rFonts w:ascii="仿宋_GB2312" w:hAnsi="仿宋" w:eastAsia="仿宋_GB2312"/>
          <w:sz w:val="32"/>
          <w:szCs w:val="32"/>
        </w:rPr>
      </w:pPr>
      <w:r>
        <w:rPr>
          <w:rFonts w:ascii="仿宋_GB2312" w:hAnsi="仿宋" w:eastAsia="仿宋_GB2312"/>
          <w:sz w:val="32"/>
          <w:szCs w:val="32"/>
        </w:rPr>
        <w:t>核查机构应确保核查组（核查组长、核查组成员）具备</w:t>
      </w:r>
      <w:r>
        <w:rPr>
          <w:rFonts w:hint="eastAsia" w:ascii="仿宋_GB2312" w:hAnsi="仿宋" w:eastAsia="仿宋_GB2312"/>
          <w:sz w:val="32"/>
          <w:szCs w:val="32"/>
        </w:rPr>
        <w:t>相应核查</w:t>
      </w:r>
      <w:r>
        <w:rPr>
          <w:rFonts w:ascii="仿宋_GB2312" w:hAnsi="仿宋" w:eastAsia="仿宋_GB2312"/>
          <w:sz w:val="32"/>
          <w:szCs w:val="32"/>
        </w:rPr>
        <w:t>行业领域的专业知识。</w:t>
      </w:r>
    </w:p>
    <w:p>
      <w:pPr>
        <w:spacing w:after="0" w:line="560" w:lineRule="exact"/>
        <w:ind w:firstLine="656" w:firstLineChars="205"/>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2</w:t>
      </w:r>
      <w:r>
        <w:rPr>
          <w:rFonts w:hint="eastAsia" w:ascii="仿宋_GB2312" w:hAnsi="仿宋" w:eastAsia="仿宋_GB2312"/>
          <w:sz w:val="32"/>
          <w:szCs w:val="32"/>
        </w:rPr>
        <w:t>．技术复核人</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技术复核人由核查机构内部独立于核查组的核查员实施。核查机构应确保技术复核人具备相应核查行业领域的专业知识。</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1</w:t>
      </w:r>
      <w:r>
        <w:rPr>
          <w:rFonts w:ascii="仿宋_GB2312" w:hAnsi="仿宋" w:eastAsia="仿宋_GB2312"/>
          <w:sz w:val="32"/>
          <w:szCs w:val="32"/>
        </w:rPr>
        <w:t>3</w:t>
      </w:r>
      <w:r>
        <w:rPr>
          <w:rFonts w:hint="eastAsia" w:ascii="仿宋_GB2312" w:hAnsi="仿宋" w:eastAsia="仿宋_GB2312"/>
          <w:sz w:val="32"/>
          <w:szCs w:val="32"/>
        </w:rPr>
        <w:t>．批准人</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核查报告应当由核查机构的最高管理者或指定的核查工作负责人签署批准。</w:t>
      </w:r>
    </w:p>
    <w:p>
      <w:pPr>
        <w:spacing w:after="0" w:line="560" w:lineRule="exact"/>
        <w:ind w:firstLine="659" w:firstLineChars="205"/>
        <w:jc w:val="both"/>
        <w:outlineLvl w:val="0"/>
        <w:rPr>
          <w:rFonts w:ascii="楷体_GB2312" w:hAnsi="仿宋" w:eastAsia="楷体_GB2312"/>
          <w:b/>
          <w:sz w:val="32"/>
          <w:szCs w:val="32"/>
        </w:rPr>
      </w:pPr>
      <w:r>
        <w:rPr>
          <w:rFonts w:hint="eastAsia" w:ascii="楷体_GB2312" w:hAnsi="仿宋" w:eastAsia="楷体_GB2312"/>
          <w:b/>
          <w:sz w:val="32"/>
          <w:szCs w:val="32"/>
        </w:rPr>
        <w:t>（三）目录</w:t>
      </w:r>
    </w:p>
    <w:p>
      <w:pPr>
        <w:spacing w:after="0" w:line="560" w:lineRule="exact"/>
        <w:ind w:firstLine="656" w:firstLineChars="205"/>
        <w:jc w:val="both"/>
        <w:rPr>
          <w:rFonts w:ascii="仿宋_GB2312" w:hAnsi="仿宋" w:eastAsia="仿宋_GB2312"/>
          <w:sz w:val="32"/>
          <w:szCs w:val="32"/>
        </w:rPr>
      </w:pPr>
      <w:r>
        <w:rPr>
          <w:rFonts w:hint="eastAsia" w:ascii="仿宋_GB2312" w:hAnsi="仿宋" w:eastAsia="仿宋_GB2312"/>
          <w:sz w:val="32"/>
          <w:szCs w:val="32"/>
        </w:rPr>
        <w:t>核查报告应将主要标题列为目录，以便阅读。</w:t>
      </w:r>
    </w:p>
    <w:p>
      <w:pPr>
        <w:spacing w:after="0" w:line="560" w:lineRule="exact"/>
        <w:ind w:firstLine="659" w:firstLineChars="205"/>
        <w:jc w:val="both"/>
        <w:outlineLvl w:val="0"/>
        <w:rPr>
          <w:rFonts w:ascii="楷体_GB2312" w:hAnsi="仿宋" w:eastAsia="楷体_GB2312"/>
          <w:b/>
          <w:sz w:val="32"/>
          <w:szCs w:val="32"/>
        </w:rPr>
      </w:pPr>
      <w:bookmarkStart w:id="17" w:name="_Toc353116434"/>
      <w:r>
        <w:rPr>
          <w:rFonts w:hint="eastAsia" w:ascii="楷体_GB2312" w:hAnsi="仿宋" w:eastAsia="楷体_GB2312"/>
          <w:b/>
          <w:sz w:val="32"/>
          <w:szCs w:val="32"/>
        </w:rPr>
        <w:t>（四）</w:t>
      </w:r>
      <w:bookmarkEnd w:id="17"/>
      <w:bookmarkStart w:id="18" w:name="_Toc353116435"/>
      <w:r>
        <w:rPr>
          <w:rFonts w:hint="eastAsia" w:ascii="楷体_GB2312" w:hAnsi="仿宋" w:eastAsia="楷体_GB2312"/>
          <w:b/>
          <w:sz w:val="32"/>
          <w:szCs w:val="32"/>
        </w:rPr>
        <w:t>报告正文</w:t>
      </w:r>
      <w:bookmarkEnd w:id="18"/>
    </w:p>
    <w:p>
      <w:pPr>
        <w:spacing w:after="0" w:line="560" w:lineRule="exact"/>
        <w:ind w:firstLine="659" w:firstLineChars="205"/>
        <w:jc w:val="both"/>
        <w:outlineLvl w:val="0"/>
        <w:rPr>
          <w:rFonts w:ascii="仿宋_GB2312" w:hAnsi="仿宋" w:eastAsia="仿宋_GB2312"/>
          <w:b/>
          <w:sz w:val="32"/>
          <w:szCs w:val="32"/>
        </w:rPr>
      </w:pPr>
      <w:r>
        <w:rPr>
          <w:rFonts w:hint="eastAsia" w:ascii="仿宋_GB2312" w:hAnsi="仿宋" w:eastAsia="仿宋_GB2312"/>
          <w:b/>
          <w:sz w:val="32"/>
          <w:szCs w:val="32"/>
        </w:rPr>
        <w:t>1. 概述</w:t>
      </w:r>
    </w:p>
    <w:p>
      <w:pPr>
        <w:spacing w:after="0" w:line="560" w:lineRule="exact"/>
        <w:ind w:firstLine="659" w:firstLineChars="205"/>
        <w:jc w:val="both"/>
        <w:outlineLvl w:val="0"/>
        <w:rPr>
          <w:rFonts w:ascii="仿宋_GB2312" w:hAnsi="仿宋" w:eastAsia="仿宋_GB2312"/>
          <w:b/>
          <w:sz w:val="32"/>
          <w:szCs w:val="32"/>
        </w:rPr>
      </w:pPr>
      <w:r>
        <w:rPr>
          <w:rFonts w:hint="eastAsia" w:ascii="仿宋_GB2312" w:hAnsi="仿宋" w:eastAsia="仿宋_GB2312"/>
          <w:b/>
          <w:sz w:val="32"/>
          <w:szCs w:val="32"/>
        </w:rPr>
        <w:t>1.1 核查目的</w:t>
      </w:r>
    </w:p>
    <w:p>
      <w:pPr>
        <w:pStyle w:val="58"/>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核查机构应在核查报告中清晰地说明核查目的，内容包括落实国家《关于开展碳排放权交易试点工作的通知》及北京市碳排放权交易试点工作的总体安排、为有效实施碳配额发放和交易提供可靠的数据质量保证服务等内容。核查具体目的表述可包含如下内容：</w:t>
      </w:r>
    </w:p>
    <w:p>
      <w:pPr>
        <w:pStyle w:val="58"/>
        <w:numPr>
          <w:ilvl w:val="0"/>
          <w:numId w:val="6"/>
        </w:numPr>
        <w:spacing w:line="560" w:lineRule="exact"/>
        <w:rPr>
          <w:rFonts w:ascii="仿宋_GB2312" w:hAnsi="仿宋" w:eastAsia="仿宋_GB2312" w:cs="Arial"/>
          <w:sz w:val="32"/>
          <w:szCs w:val="32"/>
        </w:rPr>
      </w:pPr>
      <w:r>
        <w:rPr>
          <w:rFonts w:hint="eastAsia" w:ascii="仿宋_GB2312" w:hAnsi="仿宋" w:eastAsia="仿宋_GB2312"/>
          <w:sz w:val="32"/>
          <w:szCs w:val="32"/>
        </w:rPr>
        <w:t>核查重点碳排放单位的二氧化碳核算和报告的职责、权限是否已经落实；</w:t>
      </w:r>
    </w:p>
    <w:p>
      <w:pPr>
        <w:pStyle w:val="58"/>
        <w:numPr>
          <w:ilvl w:val="0"/>
          <w:numId w:val="6"/>
        </w:numPr>
        <w:spacing w:line="560" w:lineRule="exact"/>
        <w:rPr>
          <w:rFonts w:ascii="仿宋_GB2312" w:hAnsi="仿宋" w:eastAsia="仿宋_GB2312" w:cs="Arial"/>
          <w:sz w:val="32"/>
          <w:szCs w:val="32"/>
        </w:rPr>
      </w:pPr>
      <w:r>
        <w:rPr>
          <w:rFonts w:hint="eastAsia" w:ascii="仿宋_GB2312" w:hAnsi="仿宋" w:eastAsia="仿宋_GB2312"/>
          <w:sz w:val="32"/>
          <w:szCs w:val="32"/>
        </w:rPr>
        <w:t>核查重点碳排放单位提供的二氧化碳排放报告及其他支持文件是否是完整可靠的，并且符合适用的地方标准或核算和报告指南的要求；</w:t>
      </w:r>
    </w:p>
    <w:p>
      <w:pPr>
        <w:pStyle w:val="58"/>
        <w:numPr>
          <w:ilvl w:val="0"/>
          <w:numId w:val="6"/>
        </w:numPr>
        <w:spacing w:line="560" w:lineRule="exact"/>
        <w:rPr>
          <w:rFonts w:ascii="仿宋_GB2312" w:hAnsi="仿宋" w:eastAsia="仿宋_GB2312" w:cs="Arial"/>
          <w:sz w:val="32"/>
          <w:szCs w:val="32"/>
        </w:rPr>
      </w:pPr>
      <w:r>
        <w:rPr>
          <w:rFonts w:hint="eastAsia" w:ascii="仿宋_GB2312" w:hAnsi="仿宋" w:eastAsia="仿宋_GB2312"/>
          <w:sz w:val="32"/>
          <w:szCs w:val="32"/>
        </w:rPr>
        <w:t>核查测量设备是否已经到位，测量是否符合适用的地方标准或核算和报告指南及相关标准的要求；</w:t>
      </w:r>
    </w:p>
    <w:p>
      <w:pPr>
        <w:pStyle w:val="58"/>
        <w:numPr>
          <w:ilvl w:val="0"/>
          <w:numId w:val="6"/>
        </w:numPr>
        <w:spacing w:line="560" w:lineRule="exact"/>
        <w:rPr>
          <w:rFonts w:ascii="仿宋_GB2312" w:hAnsi="仿宋" w:eastAsia="仿宋_GB2312" w:cs="Arial"/>
          <w:sz w:val="32"/>
          <w:szCs w:val="32"/>
        </w:rPr>
      </w:pPr>
      <w:r>
        <w:rPr>
          <w:rFonts w:hint="eastAsia" w:ascii="仿宋_GB2312" w:hAnsi="仿宋" w:eastAsia="仿宋_GB2312"/>
          <w:sz w:val="32"/>
          <w:szCs w:val="32"/>
        </w:rPr>
        <w:t>根据地方标准或核算和报告指南的要求，对记录和存储的数据进行评审，判断数据及计算结果是否真实、可靠、正确。</w:t>
      </w:r>
    </w:p>
    <w:p>
      <w:pPr>
        <w:spacing w:after="0" w:line="560" w:lineRule="exact"/>
        <w:ind w:firstLine="640" w:firstLineChars="200"/>
        <w:jc w:val="both"/>
        <w:outlineLvl w:val="0"/>
        <w:rPr>
          <w:rFonts w:ascii="仿宋_GB2312" w:hAnsi="仿宋" w:eastAsia="仿宋_GB2312"/>
          <w:sz w:val="32"/>
          <w:szCs w:val="32"/>
        </w:rPr>
      </w:pPr>
      <w:r>
        <w:rPr>
          <w:rFonts w:hint="eastAsia" w:ascii="仿宋_GB2312" w:hAnsi="仿宋" w:eastAsia="仿宋_GB2312"/>
          <w:sz w:val="32"/>
          <w:szCs w:val="32"/>
        </w:rPr>
        <w:t>1.2 核查范围</w:t>
      </w:r>
    </w:p>
    <w:p>
      <w:pPr>
        <w:spacing w:after="0" w:line="560" w:lineRule="exact"/>
        <w:ind w:firstLine="564"/>
        <w:jc w:val="both"/>
        <w:rPr>
          <w:rFonts w:ascii="仿宋_GB2312" w:hAnsi="仿宋" w:eastAsia="仿宋_GB2312"/>
          <w:sz w:val="32"/>
          <w:szCs w:val="32"/>
        </w:rPr>
      </w:pPr>
      <w:r>
        <w:rPr>
          <w:rFonts w:hint="eastAsia" w:ascii="仿宋_GB2312" w:hAnsi="仿宋" w:eastAsia="仿宋_GB2312"/>
          <w:sz w:val="32"/>
          <w:szCs w:val="32"/>
        </w:rPr>
        <w:t>核查机构应在核查报告中清晰地说明核查范围。北京市二氧化碳排放报告制度遵循“谁排放谁报告”的原则，因此核查范围应包括列入北京市碳排放权交易试点工作的重点碳排放单位和自愿参与交易的一般二氧化碳报告单位的所有在北京市辖区内的固定设施和以北京为注册地的城市电汽车客运、城市轨道交通、道路货物运输、民用航空运输企业移动设施导致的二氧化碳直接排放和二氧化碳间接排放。</w:t>
      </w:r>
    </w:p>
    <w:p>
      <w:pPr>
        <w:spacing w:after="0" w:line="560" w:lineRule="exact"/>
        <w:ind w:firstLine="627" w:firstLineChars="196"/>
        <w:jc w:val="both"/>
        <w:rPr>
          <w:rFonts w:ascii="仿宋_GB2312" w:hAnsi="仿宋" w:eastAsia="仿宋_GB2312"/>
          <w:sz w:val="32"/>
          <w:szCs w:val="32"/>
        </w:rPr>
      </w:pPr>
      <w:r>
        <w:rPr>
          <w:rFonts w:hint="eastAsia" w:ascii="仿宋_GB2312" w:hAnsi="仿宋" w:eastAsia="仿宋_GB2312"/>
          <w:sz w:val="32"/>
          <w:szCs w:val="32"/>
        </w:rPr>
        <w:t>对于存在京内移动源和京外化石燃料消费的重点碳排放单位，京内移动源和京外化石燃料消费也应当纳入核查范围。</w:t>
      </w:r>
      <w:bookmarkStart w:id="19" w:name="OLE_LINK8"/>
      <w:bookmarkStart w:id="20" w:name="OLE_LINK7"/>
      <w:r>
        <w:rPr>
          <w:rFonts w:hint="eastAsia" w:ascii="仿宋_GB2312" w:hAnsi="仿宋" w:eastAsia="仿宋_GB2312"/>
          <w:sz w:val="32"/>
          <w:szCs w:val="32"/>
        </w:rPr>
        <w:t>其中，航空器排放核算应遵循注册地原则。</w:t>
      </w:r>
      <w:bookmarkEnd w:id="19"/>
      <w:bookmarkEnd w:id="20"/>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1.3 核查准则</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核查机构应在核查报告中清晰地说明核查准则。核查机构应在核查报告中列出适用的地方标准或相应的核算和报告指南，以及活动水平数据、排放因子和计量设备所适用的北京市地方或国家法规及标准。</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2. 核查过程和方法</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2.1 核查组安排</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核查机构应统一采用列表的方式说明核查组成员，表格格式统一如下：</w:t>
      </w:r>
    </w:p>
    <w:p>
      <w:pPr>
        <w:spacing w:after="0" w:line="560" w:lineRule="exact"/>
        <w:jc w:val="center"/>
        <w:rPr>
          <w:rFonts w:ascii="仿宋_GB2312" w:hAnsi="仿宋" w:eastAsia="仿宋_GB2312"/>
          <w:b/>
          <w:sz w:val="28"/>
          <w:szCs w:val="28"/>
        </w:rPr>
      </w:pPr>
      <w:r>
        <w:rPr>
          <w:rFonts w:hint="eastAsia" w:ascii="仿宋_GB2312" w:hAnsi="仿宋" w:eastAsia="仿宋_GB2312"/>
          <w:b/>
          <w:sz w:val="28"/>
          <w:szCs w:val="28"/>
        </w:rPr>
        <w:t>核查组成员表</w:t>
      </w:r>
    </w:p>
    <w:tbl>
      <w:tblPr>
        <w:tblStyle w:val="3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35"/>
        <w:gridCol w:w="1434"/>
        <w:gridCol w:w="4452"/>
        <w:gridCol w:w="174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792" w:type="pct"/>
            <w:tcBorders>
              <w:top w:val="single" w:color="auto" w:sz="12" w:space="0"/>
              <w:left w:val="single" w:color="auto" w:sz="12" w:space="0"/>
              <w:bottom w:val="single" w:color="auto" w:sz="6" w:space="0"/>
              <w:right w:val="single" w:color="auto" w:sz="6" w:space="0"/>
            </w:tcBorders>
            <w:vAlign w:val="center"/>
          </w:tcPr>
          <w:p>
            <w:pPr>
              <w:spacing w:after="0" w:line="560" w:lineRule="exact"/>
              <w:jc w:val="center"/>
              <w:rPr>
                <w:rFonts w:ascii="仿宋_GB2312" w:hAnsi="仿宋" w:eastAsia="仿宋_GB2312"/>
                <w:b/>
                <w:sz w:val="24"/>
                <w:szCs w:val="24"/>
              </w:rPr>
            </w:pPr>
            <w:r>
              <w:rPr>
                <w:rFonts w:hint="eastAsia" w:ascii="仿宋_GB2312" w:hAnsi="仿宋" w:eastAsia="仿宋_GB2312"/>
                <w:b/>
                <w:sz w:val="24"/>
                <w:szCs w:val="24"/>
              </w:rPr>
              <w:t>序号</w:t>
            </w:r>
          </w:p>
        </w:tc>
        <w:tc>
          <w:tcPr>
            <w:tcW w:w="791" w:type="pct"/>
            <w:tcBorders>
              <w:top w:val="single" w:color="auto" w:sz="12" w:space="0"/>
              <w:left w:val="single" w:color="auto" w:sz="6" w:space="0"/>
              <w:bottom w:val="single" w:color="auto" w:sz="6" w:space="0"/>
              <w:right w:val="single" w:color="auto" w:sz="6" w:space="0"/>
            </w:tcBorders>
            <w:vAlign w:val="center"/>
          </w:tcPr>
          <w:p>
            <w:pPr>
              <w:spacing w:after="0" w:line="560" w:lineRule="exact"/>
              <w:jc w:val="center"/>
              <w:rPr>
                <w:rFonts w:ascii="仿宋_GB2312" w:hAnsi="仿宋" w:eastAsia="仿宋_GB2312"/>
                <w:b/>
                <w:sz w:val="24"/>
                <w:szCs w:val="24"/>
              </w:rPr>
            </w:pPr>
            <w:r>
              <w:rPr>
                <w:rFonts w:hint="eastAsia" w:ascii="仿宋_GB2312" w:hAnsi="仿宋" w:eastAsia="仿宋_GB2312"/>
                <w:b/>
                <w:sz w:val="24"/>
                <w:szCs w:val="24"/>
              </w:rPr>
              <w:t>姓名</w:t>
            </w:r>
          </w:p>
        </w:tc>
        <w:tc>
          <w:tcPr>
            <w:tcW w:w="2456" w:type="pct"/>
            <w:tcBorders>
              <w:top w:val="single" w:color="auto" w:sz="12" w:space="0"/>
              <w:left w:val="single" w:color="auto" w:sz="6" w:space="0"/>
              <w:bottom w:val="single" w:color="auto" w:sz="6" w:space="0"/>
              <w:right w:val="single" w:color="auto" w:sz="6" w:space="0"/>
            </w:tcBorders>
            <w:vAlign w:val="center"/>
          </w:tcPr>
          <w:p>
            <w:pPr>
              <w:spacing w:after="0" w:line="560" w:lineRule="exact"/>
              <w:jc w:val="center"/>
              <w:rPr>
                <w:rFonts w:ascii="仿宋_GB2312" w:hAnsi="仿宋" w:eastAsia="仿宋_GB2312"/>
                <w:b/>
                <w:sz w:val="24"/>
                <w:szCs w:val="24"/>
              </w:rPr>
            </w:pPr>
            <w:r>
              <w:rPr>
                <w:rFonts w:hint="eastAsia" w:ascii="仿宋_GB2312" w:hAnsi="仿宋" w:eastAsia="仿宋_GB2312"/>
                <w:b/>
                <w:sz w:val="24"/>
                <w:szCs w:val="24"/>
              </w:rPr>
              <w:t>核查工作分工内容</w:t>
            </w:r>
          </w:p>
        </w:tc>
        <w:tc>
          <w:tcPr>
            <w:tcW w:w="960" w:type="pct"/>
            <w:tcBorders>
              <w:top w:val="single" w:color="auto" w:sz="12" w:space="0"/>
              <w:left w:val="single" w:color="auto" w:sz="6" w:space="0"/>
              <w:bottom w:val="single" w:color="auto" w:sz="6" w:space="0"/>
              <w:right w:val="single" w:color="auto" w:sz="12" w:space="0"/>
            </w:tcBorders>
            <w:vAlign w:val="center"/>
          </w:tcPr>
          <w:p>
            <w:pPr>
              <w:spacing w:after="0" w:line="560" w:lineRule="exact"/>
              <w:jc w:val="center"/>
              <w:rPr>
                <w:rFonts w:ascii="仿宋_GB2312" w:hAnsi="仿宋" w:eastAsia="仿宋_GB2312"/>
                <w:b/>
                <w:sz w:val="24"/>
                <w:szCs w:val="24"/>
              </w:rPr>
            </w:pPr>
            <w:r>
              <w:rPr>
                <w:rFonts w:hint="eastAsia" w:ascii="仿宋_GB2312" w:hAnsi="仿宋" w:eastAsia="仿宋_GB2312"/>
                <w:b/>
                <w:sz w:val="24"/>
                <w:szCs w:val="24"/>
              </w:rPr>
              <w:t>专业代码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jc w:val="center"/>
        </w:trPr>
        <w:tc>
          <w:tcPr>
            <w:tcW w:w="792" w:type="pct"/>
            <w:tcBorders>
              <w:top w:val="single" w:color="auto" w:sz="6" w:space="0"/>
              <w:left w:val="single" w:color="auto" w:sz="12" w:space="0"/>
              <w:bottom w:val="single" w:color="auto" w:sz="6" w:space="0"/>
              <w:right w:val="single" w:color="auto" w:sz="6" w:space="0"/>
            </w:tcBorders>
            <w:vAlign w:val="center"/>
          </w:tcPr>
          <w:p>
            <w:pPr>
              <w:tabs>
                <w:tab w:val="left" w:pos="540"/>
              </w:tabs>
              <w:spacing w:after="0" w:line="560" w:lineRule="exact"/>
              <w:jc w:val="center"/>
              <w:rPr>
                <w:rFonts w:ascii="仿宋_GB2312" w:hAnsi="仿宋" w:eastAsia="仿宋_GB2312"/>
                <w:sz w:val="24"/>
                <w:szCs w:val="24"/>
              </w:rPr>
            </w:pPr>
            <w:r>
              <w:rPr>
                <w:rFonts w:ascii="仿宋_GB2312" w:hAnsi="仿宋" w:eastAsia="仿宋_GB2312"/>
                <w:sz w:val="24"/>
                <w:szCs w:val="24"/>
              </w:rPr>
              <w:t>1</w:t>
            </w:r>
          </w:p>
        </w:tc>
        <w:tc>
          <w:tcPr>
            <w:tcW w:w="791" w:type="pct"/>
            <w:tcBorders>
              <w:top w:val="single" w:color="auto" w:sz="6" w:space="0"/>
              <w:left w:val="single" w:color="auto" w:sz="6" w:space="0"/>
              <w:bottom w:val="single" w:color="auto" w:sz="6" w:space="0"/>
              <w:right w:val="single" w:color="auto" w:sz="6" w:space="0"/>
            </w:tcBorders>
            <w:vAlign w:val="center"/>
          </w:tcPr>
          <w:p>
            <w:pPr>
              <w:tabs>
                <w:tab w:val="left" w:pos="540"/>
              </w:tabs>
              <w:spacing w:after="0" w:line="560" w:lineRule="exact"/>
              <w:jc w:val="center"/>
              <w:rPr>
                <w:rFonts w:ascii="仿宋_GB2312" w:hAnsi="仿宋" w:eastAsia="仿宋_GB2312"/>
                <w:sz w:val="24"/>
                <w:szCs w:val="24"/>
              </w:rPr>
            </w:pPr>
          </w:p>
        </w:tc>
        <w:tc>
          <w:tcPr>
            <w:tcW w:w="2456" w:type="pct"/>
            <w:tcBorders>
              <w:top w:val="single" w:color="auto" w:sz="6" w:space="0"/>
              <w:left w:val="single" w:color="auto" w:sz="6" w:space="0"/>
              <w:bottom w:val="single" w:color="auto" w:sz="6" w:space="0"/>
              <w:right w:val="single" w:color="auto" w:sz="6" w:space="0"/>
            </w:tcBorders>
            <w:vAlign w:val="center"/>
          </w:tcPr>
          <w:p>
            <w:pPr>
              <w:tabs>
                <w:tab w:val="left" w:pos="540"/>
              </w:tabs>
              <w:spacing w:after="0" w:line="560" w:lineRule="exact"/>
              <w:jc w:val="center"/>
              <w:rPr>
                <w:rFonts w:ascii="仿宋_GB2312" w:hAnsi="仿宋" w:eastAsia="仿宋_GB2312"/>
                <w:sz w:val="24"/>
                <w:szCs w:val="24"/>
              </w:rPr>
            </w:pPr>
          </w:p>
        </w:tc>
        <w:tc>
          <w:tcPr>
            <w:tcW w:w="960" w:type="pct"/>
            <w:tcBorders>
              <w:top w:val="single" w:color="auto" w:sz="6" w:space="0"/>
              <w:left w:val="single" w:color="auto" w:sz="6" w:space="0"/>
              <w:bottom w:val="single" w:color="auto" w:sz="6" w:space="0"/>
              <w:right w:val="single" w:color="auto" w:sz="12" w:space="0"/>
            </w:tcBorders>
            <w:vAlign w:val="center"/>
          </w:tcPr>
          <w:p>
            <w:pPr>
              <w:tabs>
                <w:tab w:val="left" w:pos="540"/>
              </w:tabs>
              <w:spacing w:after="0" w:line="560" w:lineRule="exact"/>
              <w:jc w:val="center"/>
              <w:rPr>
                <w:rFonts w:ascii="仿宋_GB2312" w:hAnsi="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92" w:type="pct"/>
            <w:tcBorders>
              <w:top w:val="single" w:color="auto" w:sz="6" w:space="0"/>
              <w:left w:val="single" w:color="auto" w:sz="12" w:space="0"/>
              <w:bottom w:val="single" w:color="auto" w:sz="6" w:space="0"/>
              <w:right w:val="single" w:color="auto" w:sz="6" w:space="0"/>
            </w:tcBorders>
            <w:vAlign w:val="center"/>
          </w:tcPr>
          <w:p>
            <w:pPr>
              <w:spacing w:after="0" w:line="560" w:lineRule="exact"/>
              <w:jc w:val="center"/>
              <w:rPr>
                <w:rFonts w:ascii="仿宋_GB2312" w:hAnsi="仿宋" w:eastAsia="仿宋_GB2312"/>
                <w:sz w:val="24"/>
                <w:szCs w:val="24"/>
              </w:rPr>
            </w:pPr>
            <w:r>
              <w:rPr>
                <w:rFonts w:ascii="仿宋_GB2312" w:hAnsi="仿宋" w:eastAsia="仿宋_GB2312"/>
                <w:sz w:val="24"/>
                <w:szCs w:val="24"/>
              </w:rPr>
              <w:t>2</w:t>
            </w:r>
          </w:p>
        </w:tc>
        <w:tc>
          <w:tcPr>
            <w:tcW w:w="791" w:type="pct"/>
            <w:tcBorders>
              <w:top w:val="single" w:color="auto" w:sz="6" w:space="0"/>
              <w:left w:val="single" w:color="auto" w:sz="6" w:space="0"/>
              <w:bottom w:val="single" w:color="auto" w:sz="6" w:space="0"/>
              <w:right w:val="single" w:color="auto" w:sz="6" w:space="0"/>
            </w:tcBorders>
            <w:vAlign w:val="center"/>
          </w:tcPr>
          <w:p>
            <w:pPr>
              <w:spacing w:after="0" w:line="560" w:lineRule="exact"/>
              <w:jc w:val="center"/>
              <w:rPr>
                <w:rFonts w:ascii="仿宋_GB2312" w:hAnsi="仿宋" w:eastAsia="仿宋_GB2312"/>
                <w:sz w:val="24"/>
                <w:szCs w:val="24"/>
              </w:rPr>
            </w:pPr>
          </w:p>
        </w:tc>
        <w:tc>
          <w:tcPr>
            <w:tcW w:w="2456" w:type="pct"/>
            <w:tcBorders>
              <w:top w:val="single" w:color="auto" w:sz="6" w:space="0"/>
              <w:left w:val="single" w:color="auto" w:sz="6" w:space="0"/>
              <w:bottom w:val="single" w:color="auto" w:sz="6" w:space="0"/>
              <w:right w:val="single" w:color="auto" w:sz="6" w:space="0"/>
            </w:tcBorders>
            <w:vAlign w:val="center"/>
          </w:tcPr>
          <w:p>
            <w:pPr>
              <w:spacing w:after="0" w:line="560" w:lineRule="exact"/>
              <w:jc w:val="center"/>
              <w:rPr>
                <w:rFonts w:ascii="仿宋_GB2312" w:hAnsi="仿宋" w:eastAsia="仿宋_GB2312"/>
                <w:sz w:val="24"/>
                <w:szCs w:val="24"/>
              </w:rPr>
            </w:pPr>
          </w:p>
        </w:tc>
        <w:tc>
          <w:tcPr>
            <w:tcW w:w="960" w:type="pct"/>
            <w:tcBorders>
              <w:top w:val="single" w:color="auto" w:sz="6" w:space="0"/>
              <w:left w:val="single" w:color="auto" w:sz="6" w:space="0"/>
              <w:bottom w:val="single" w:color="auto" w:sz="6" w:space="0"/>
              <w:right w:val="single" w:color="auto" w:sz="12" w:space="0"/>
            </w:tcBorders>
            <w:vAlign w:val="center"/>
          </w:tcPr>
          <w:p>
            <w:pPr>
              <w:tabs>
                <w:tab w:val="left" w:pos="540"/>
              </w:tabs>
              <w:spacing w:after="0" w:line="560" w:lineRule="exact"/>
              <w:jc w:val="center"/>
              <w:rPr>
                <w:rFonts w:ascii="仿宋_GB2312" w:hAnsi="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92" w:type="pct"/>
            <w:tcBorders>
              <w:top w:val="single" w:color="auto" w:sz="6" w:space="0"/>
              <w:left w:val="single" w:color="auto" w:sz="12" w:space="0"/>
              <w:bottom w:val="single" w:color="auto" w:sz="6" w:space="0"/>
              <w:right w:val="single" w:color="auto" w:sz="6" w:space="0"/>
            </w:tcBorders>
            <w:vAlign w:val="center"/>
          </w:tcPr>
          <w:p>
            <w:pPr>
              <w:spacing w:after="0" w:line="560" w:lineRule="exact"/>
              <w:jc w:val="center"/>
              <w:rPr>
                <w:rFonts w:ascii="仿宋_GB2312" w:hAnsi="仿宋" w:eastAsia="仿宋_GB2312"/>
                <w:sz w:val="24"/>
                <w:szCs w:val="24"/>
              </w:rPr>
            </w:pPr>
            <w:r>
              <w:rPr>
                <w:rFonts w:ascii="仿宋_GB2312" w:hAnsi="仿宋" w:eastAsia="仿宋_GB2312"/>
                <w:sz w:val="24"/>
                <w:szCs w:val="24"/>
              </w:rPr>
              <w:t>3</w:t>
            </w:r>
          </w:p>
        </w:tc>
        <w:tc>
          <w:tcPr>
            <w:tcW w:w="791" w:type="pct"/>
            <w:tcBorders>
              <w:top w:val="single" w:color="auto" w:sz="6" w:space="0"/>
              <w:left w:val="single" w:color="auto" w:sz="6" w:space="0"/>
              <w:bottom w:val="single" w:color="auto" w:sz="6" w:space="0"/>
              <w:right w:val="single" w:color="auto" w:sz="6" w:space="0"/>
            </w:tcBorders>
            <w:vAlign w:val="center"/>
          </w:tcPr>
          <w:p>
            <w:pPr>
              <w:spacing w:after="0" w:line="560" w:lineRule="exact"/>
              <w:jc w:val="center"/>
              <w:rPr>
                <w:rFonts w:ascii="仿宋_GB2312" w:hAnsi="仿宋" w:eastAsia="仿宋_GB2312"/>
                <w:sz w:val="24"/>
                <w:szCs w:val="24"/>
              </w:rPr>
            </w:pPr>
          </w:p>
        </w:tc>
        <w:tc>
          <w:tcPr>
            <w:tcW w:w="2456" w:type="pct"/>
            <w:tcBorders>
              <w:top w:val="single" w:color="auto" w:sz="6" w:space="0"/>
              <w:left w:val="single" w:color="auto" w:sz="6" w:space="0"/>
              <w:bottom w:val="single" w:color="auto" w:sz="6" w:space="0"/>
              <w:right w:val="single" w:color="auto" w:sz="6" w:space="0"/>
            </w:tcBorders>
            <w:vAlign w:val="center"/>
          </w:tcPr>
          <w:p>
            <w:pPr>
              <w:spacing w:after="0" w:line="560" w:lineRule="exact"/>
              <w:jc w:val="center"/>
              <w:rPr>
                <w:rFonts w:ascii="仿宋_GB2312" w:hAnsi="仿宋" w:eastAsia="仿宋_GB2312"/>
                <w:sz w:val="24"/>
                <w:szCs w:val="24"/>
              </w:rPr>
            </w:pPr>
          </w:p>
        </w:tc>
        <w:tc>
          <w:tcPr>
            <w:tcW w:w="960" w:type="pct"/>
            <w:tcBorders>
              <w:top w:val="single" w:color="auto" w:sz="6" w:space="0"/>
              <w:left w:val="single" w:color="auto" w:sz="6" w:space="0"/>
              <w:bottom w:val="single" w:color="auto" w:sz="6" w:space="0"/>
              <w:right w:val="single" w:color="auto" w:sz="12" w:space="0"/>
            </w:tcBorders>
            <w:vAlign w:val="center"/>
          </w:tcPr>
          <w:p>
            <w:pPr>
              <w:tabs>
                <w:tab w:val="left" w:pos="540"/>
              </w:tabs>
              <w:spacing w:after="0" w:line="560" w:lineRule="exact"/>
              <w:jc w:val="center"/>
              <w:rPr>
                <w:rFonts w:ascii="仿宋_GB2312" w:hAnsi="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792" w:type="pct"/>
            <w:tcBorders>
              <w:top w:val="single" w:color="auto" w:sz="6" w:space="0"/>
              <w:left w:val="single" w:color="auto" w:sz="12" w:space="0"/>
              <w:bottom w:val="single" w:color="auto" w:sz="12" w:space="0"/>
              <w:right w:val="single" w:color="auto" w:sz="6" w:space="0"/>
            </w:tcBorders>
            <w:vAlign w:val="center"/>
          </w:tcPr>
          <w:p>
            <w:pPr>
              <w:spacing w:after="0" w:line="560" w:lineRule="exact"/>
              <w:jc w:val="center"/>
              <w:rPr>
                <w:rFonts w:ascii="仿宋_GB2312" w:hAnsi="仿宋" w:eastAsia="仿宋_GB2312"/>
                <w:sz w:val="24"/>
                <w:szCs w:val="24"/>
              </w:rPr>
            </w:pPr>
            <w:r>
              <w:rPr>
                <w:rFonts w:hint="eastAsia" w:ascii="仿宋_GB2312" w:hAnsi="仿宋" w:eastAsia="仿宋_GB2312"/>
                <w:sz w:val="24"/>
                <w:szCs w:val="24"/>
              </w:rPr>
              <w:t>…</w:t>
            </w:r>
          </w:p>
        </w:tc>
        <w:tc>
          <w:tcPr>
            <w:tcW w:w="791" w:type="pct"/>
            <w:tcBorders>
              <w:top w:val="single" w:color="auto" w:sz="6" w:space="0"/>
              <w:left w:val="single" w:color="auto" w:sz="6" w:space="0"/>
              <w:bottom w:val="single" w:color="auto" w:sz="12" w:space="0"/>
              <w:right w:val="single" w:color="auto" w:sz="6" w:space="0"/>
            </w:tcBorders>
            <w:vAlign w:val="center"/>
          </w:tcPr>
          <w:p>
            <w:pPr>
              <w:spacing w:after="0" w:line="560" w:lineRule="exact"/>
              <w:jc w:val="center"/>
              <w:rPr>
                <w:rFonts w:ascii="仿宋_GB2312" w:hAnsi="仿宋" w:eastAsia="仿宋_GB2312"/>
                <w:sz w:val="24"/>
                <w:szCs w:val="24"/>
              </w:rPr>
            </w:pPr>
          </w:p>
        </w:tc>
        <w:tc>
          <w:tcPr>
            <w:tcW w:w="2456" w:type="pct"/>
            <w:tcBorders>
              <w:top w:val="single" w:color="auto" w:sz="6" w:space="0"/>
              <w:left w:val="single" w:color="auto" w:sz="6" w:space="0"/>
              <w:bottom w:val="single" w:color="auto" w:sz="12" w:space="0"/>
              <w:right w:val="single" w:color="auto" w:sz="6" w:space="0"/>
            </w:tcBorders>
            <w:vAlign w:val="center"/>
          </w:tcPr>
          <w:p>
            <w:pPr>
              <w:spacing w:after="0" w:line="560" w:lineRule="exact"/>
              <w:jc w:val="center"/>
              <w:rPr>
                <w:rFonts w:ascii="仿宋_GB2312" w:hAnsi="仿宋" w:eastAsia="仿宋_GB2312"/>
                <w:sz w:val="24"/>
                <w:szCs w:val="24"/>
              </w:rPr>
            </w:pPr>
          </w:p>
        </w:tc>
        <w:tc>
          <w:tcPr>
            <w:tcW w:w="960" w:type="pct"/>
            <w:tcBorders>
              <w:top w:val="single" w:color="auto" w:sz="6" w:space="0"/>
              <w:left w:val="single" w:color="auto" w:sz="6" w:space="0"/>
              <w:bottom w:val="single" w:color="auto" w:sz="12" w:space="0"/>
              <w:right w:val="single" w:color="auto" w:sz="12" w:space="0"/>
            </w:tcBorders>
            <w:vAlign w:val="center"/>
          </w:tcPr>
          <w:p>
            <w:pPr>
              <w:tabs>
                <w:tab w:val="left" w:pos="540"/>
              </w:tabs>
              <w:spacing w:after="0" w:line="560" w:lineRule="exact"/>
              <w:jc w:val="center"/>
              <w:rPr>
                <w:rFonts w:ascii="仿宋_GB2312" w:hAnsi="仿宋" w:eastAsia="仿宋_GB2312"/>
                <w:sz w:val="24"/>
                <w:szCs w:val="24"/>
              </w:rPr>
            </w:pPr>
          </w:p>
        </w:tc>
      </w:tr>
    </w:tbl>
    <w:p>
      <w:pPr>
        <w:spacing w:after="0" w:line="560" w:lineRule="exact"/>
        <w:ind w:firstLine="160" w:firstLineChars="50"/>
        <w:rPr>
          <w:rFonts w:ascii="仿宋_GB2312" w:hAnsi="仿宋" w:eastAsia="仿宋_GB2312"/>
          <w:sz w:val="32"/>
          <w:szCs w:val="32"/>
        </w:rPr>
      </w:pPr>
      <w:r>
        <w:rPr>
          <w:rFonts w:hint="eastAsia" w:ascii="仿宋_GB2312" w:hAnsi="仿宋" w:eastAsia="仿宋_GB2312"/>
          <w:sz w:val="32"/>
          <w:szCs w:val="32"/>
        </w:rPr>
        <w:t>注：</w:t>
      </w:r>
    </w:p>
    <w:p>
      <w:pPr>
        <w:widowControl w:val="0"/>
        <w:numPr>
          <w:ilvl w:val="0"/>
          <w:numId w:val="7"/>
        </w:numPr>
        <w:spacing w:after="0" w:line="560" w:lineRule="exact"/>
        <w:ind w:left="0" w:firstLine="567"/>
        <w:jc w:val="both"/>
        <w:rPr>
          <w:rFonts w:ascii="仿宋_GB2312" w:hAnsi="仿宋" w:eastAsia="仿宋_GB2312"/>
          <w:bCs/>
          <w:sz w:val="32"/>
          <w:szCs w:val="32"/>
        </w:rPr>
      </w:pPr>
      <w:r>
        <w:rPr>
          <w:rFonts w:hint="eastAsia" w:ascii="仿宋_GB2312" w:hAnsi="仿宋" w:eastAsia="仿宋_GB2312"/>
          <w:bCs/>
          <w:sz w:val="32"/>
          <w:szCs w:val="32"/>
        </w:rPr>
        <w:t>核查机构应根据核查员的专业领域和技术能力、重点碳排放单位的规模和经营场所数量等实际情况，组成至少两名核查员的核查组实施核查。</w:t>
      </w:r>
    </w:p>
    <w:p>
      <w:pPr>
        <w:widowControl w:val="0"/>
        <w:numPr>
          <w:ilvl w:val="0"/>
          <w:numId w:val="7"/>
        </w:numPr>
        <w:spacing w:after="0" w:line="560" w:lineRule="exact"/>
        <w:ind w:left="0" w:firstLine="567"/>
        <w:jc w:val="both"/>
        <w:rPr>
          <w:rFonts w:ascii="仿宋_GB2312" w:hAnsi="仿宋" w:eastAsia="仿宋_GB2312"/>
          <w:bCs/>
          <w:sz w:val="32"/>
          <w:szCs w:val="32"/>
        </w:rPr>
      </w:pPr>
      <w:r>
        <w:rPr>
          <w:rFonts w:hint="eastAsia" w:ascii="仿宋_GB2312" w:hAnsi="仿宋" w:eastAsia="仿宋_GB2312"/>
          <w:bCs/>
          <w:sz w:val="32"/>
          <w:szCs w:val="32"/>
        </w:rPr>
        <w:t>核查机构对报告客观真实性和报告质量负责。</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2.2 文件评审</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核查机构应在报告中描述其文件评审的时间、过程及主要内容。核查机构对文件评审的描述应包含如下内容：</w:t>
      </w:r>
    </w:p>
    <w:p>
      <w:pPr>
        <w:widowControl w:val="0"/>
        <w:numPr>
          <w:ilvl w:val="0"/>
          <w:numId w:val="8"/>
        </w:numPr>
        <w:spacing w:after="0" w:line="560" w:lineRule="exact"/>
        <w:ind w:left="0" w:firstLine="660"/>
        <w:jc w:val="both"/>
        <w:rPr>
          <w:rFonts w:ascii="仿宋_GB2312" w:hAnsi="仿宋" w:eastAsia="仿宋_GB2312"/>
          <w:sz w:val="32"/>
          <w:szCs w:val="32"/>
        </w:rPr>
      </w:pPr>
      <w:r>
        <w:rPr>
          <w:rFonts w:hint="eastAsia" w:ascii="仿宋_GB2312" w:hAnsi="仿宋" w:eastAsia="仿宋_GB2312"/>
          <w:sz w:val="32"/>
          <w:szCs w:val="32"/>
        </w:rPr>
        <w:t>重点碳排放单位提交二氧化碳排放报告初始版本和最终版本的日期；</w:t>
      </w:r>
    </w:p>
    <w:p>
      <w:pPr>
        <w:widowControl w:val="0"/>
        <w:numPr>
          <w:ilvl w:val="0"/>
          <w:numId w:val="8"/>
        </w:numPr>
        <w:spacing w:after="0" w:line="560" w:lineRule="exact"/>
        <w:ind w:left="0" w:firstLine="660"/>
        <w:jc w:val="both"/>
        <w:rPr>
          <w:rFonts w:ascii="仿宋_GB2312" w:hAnsi="仿宋" w:eastAsia="仿宋_GB2312"/>
          <w:sz w:val="32"/>
          <w:szCs w:val="32"/>
        </w:rPr>
      </w:pPr>
      <w:r>
        <w:rPr>
          <w:rFonts w:hint="eastAsia" w:ascii="仿宋_GB2312" w:hAnsi="仿宋" w:eastAsia="仿宋_GB2312"/>
          <w:sz w:val="32"/>
          <w:szCs w:val="32"/>
        </w:rPr>
        <w:t>重点碳排放单位提供的支持性文件（详细文件清单，包括版本和日期应清晰地列在核查报告的第五部分“参考文件” 中），支持文件可包括但不限于：</w:t>
      </w:r>
    </w:p>
    <w:p>
      <w:pPr>
        <w:widowControl w:val="0"/>
        <w:numPr>
          <w:ilvl w:val="0"/>
          <w:numId w:val="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营业执照；</w:t>
      </w:r>
    </w:p>
    <w:p>
      <w:pPr>
        <w:widowControl w:val="0"/>
        <w:numPr>
          <w:ilvl w:val="0"/>
          <w:numId w:val="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工艺流程图；</w:t>
      </w:r>
    </w:p>
    <w:p>
      <w:pPr>
        <w:widowControl w:val="0"/>
        <w:numPr>
          <w:ilvl w:val="0"/>
          <w:numId w:val="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能源平衡表；</w:t>
      </w:r>
    </w:p>
    <w:p>
      <w:pPr>
        <w:widowControl w:val="0"/>
        <w:numPr>
          <w:ilvl w:val="0"/>
          <w:numId w:val="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物料平衡表(如有)；</w:t>
      </w:r>
    </w:p>
    <w:p>
      <w:pPr>
        <w:widowControl w:val="0"/>
        <w:numPr>
          <w:ilvl w:val="0"/>
          <w:numId w:val="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能源审计报告；</w:t>
      </w:r>
    </w:p>
    <w:p>
      <w:pPr>
        <w:widowControl w:val="0"/>
        <w:numPr>
          <w:ilvl w:val="0"/>
          <w:numId w:val="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能源统计报表；</w:t>
      </w:r>
    </w:p>
    <w:p>
      <w:pPr>
        <w:widowControl w:val="0"/>
        <w:numPr>
          <w:ilvl w:val="0"/>
          <w:numId w:val="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核查组在文件评审中使用其它的支持性文件。</w:t>
      </w:r>
    </w:p>
    <w:p>
      <w:pPr>
        <w:spacing w:after="0" w:line="560" w:lineRule="exact"/>
        <w:ind w:left="420" w:firstLine="320" w:firstLineChars="100"/>
        <w:jc w:val="both"/>
        <w:rPr>
          <w:rFonts w:ascii="仿宋_GB2312" w:hAnsi="仿宋" w:eastAsia="仿宋_GB2312"/>
          <w:sz w:val="32"/>
          <w:szCs w:val="32"/>
        </w:rPr>
      </w:pPr>
      <w:r>
        <w:rPr>
          <w:rFonts w:hint="eastAsia" w:ascii="仿宋_GB2312" w:hAnsi="仿宋" w:eastAsia="仿宋_GB2312"/>
          <w:sz w:val="32"/>
          <w:szCs w:val="32"/>
        </w:rPr>
        <w:t>c) 文件评审识别出的现场访问的重点。</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2.3 现场访问</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核查机构应在报告中描述其现场访问的时间、对象及主要内容，并用如下表格格式汇总现场访问的实施。</w:t>
      </w:r>
    </w:p>
    <w:tbl>
      <w:tblPr>
        <w:tblStyle w:val="3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2226"/>
        <w:gridCol w:w="216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vAlign w:val="center"/>
          </w:tcPr>
          <w:p>
            <w:pPr>
              <w:spacing w:after="0" w:line="560" w:lineRule="exact"/>
              <w:jc w:val="center"/>
              <w:rPr>
                <w:rFonts w:ascii="仿宋_GB2312" w:hAnsi="仿宋" w:eastAsia="仿宋_GB2312" w:cs="Arial"/>
                <w:b/>
                <w:bCs/>
                <w:sz w:val="24"/>
                <w:szCs w:val="24"/>
              </w:rPr>
            </w:pPr>
            <w:r>
              <w:rPr>
                <w:rFonts w:hint="eastAsia" w:ascii="仿宋_GB2312" w:hAnsi="仿宋" w:eastAsia="仿宋_GB2312" w:cs="Arial"/>
                <w:b/>
                <w:bCs/>
                <w:sz w:val="24"/>
                <w:szCs w:val="24"/>
              </w:rPr>
              <w:t>时间</w:t>
            </w:r>
          </w:p>
        </w:tc>
        <w:tc>
          <w:tcPr>
            <w:tcW w:w="2226" w:type="dxa"/>
            <w:vAlign w:val="center"/>
          </w:tcPr>
          <w:p>
            <w:pPr>
              <w:spacing w:after="0" w:line="560" w:lineRule="exact"/>
              <w:jc w:val="center"/>
              <w:rPr>
                <w:rFonts w:ascii="仿宋_GB2312" w:hAnsi="仿宋" w:eastAsia="仿宋_GB2312"/>
                <w:b/>
                <w:bCs/>
                <w:sz w:val="24"/>
                <w:szCs w:val="24"/>
              </w:rPr>
            </w:pPr>
            <w:r>
              <w:rPr>
                <w:rFonts w:hint="eastAsia" w:ascii="仿宋_GB2312" w:hAnsi="仿宋" w:eastAsia="仿宋_GB2312"/>
                <w:b/>
                <w:bCs/>
                <w:sz w:val="24"/>
                <w:szCs w:val="24"/>
              </w:rPr>
              <w:t>访谈对象</w:t>
            </w:r>
          </w:p>
          <w:p>
            <w:pPr>
              <w:spacing w:after="0" w:line="560" w:lineRule="exact"/>
              <w:jc w:val="center"/>
              <w:rPr>
                <w:rFonts w:ascii="仿宋_GB2312" w:hAnsi="仿宋" w:eastAsia="仿宋_GB2312"/>
                <w:b/>
                <w:bCs/>
                <w:sz w:val="24"/>
                <w:szCs w:val="24"/>
              </w:rPr>
            </w:pPr>
            <w:r>
              <w:rPr>
                <w:rFonts w:hint="eastAsia" w:ascii="仿宋_GB2312" w:hAnsi="仿宋" w:eastAsia="仿宋_GB2312"/>
                <w:b/>
                <w:bCs/>
                <w:sz w:val="24"/>
                <w:szCs w:val="24"/>
              </w:rPr>
              <w:t>（姓名／职位）</w:t>
            </w:r>
          </w:p>
        </w:tc>
        <w:tc>
          <w:tcPr>
            <w:tcW w:w="2168" w:type="dxa"/>
            <w:vAlign w:val="center"/>
          </w:tcPr>
          <w:p>
            <w:pPr>
              <w:spacing w:after="0" w:line="560" w:lineRule="exact"/>
              <w:jc w:val="center"/>
              <w:rPr>
                <w:rFonts w:ascii="仿宋_GB2312" w:hAnsi="仿宋" w:eastAsia="仿宋_GB2312" w:cs="Arial"/>
                <w:b/>
                <w:bCs/>
                <w:sz w:val="24"/>
                <w:szCs w:val="24"/>
              </w:rPr>
            </w:pPr>
            <w:r>
              <w:rPr>
                <w:rFonts w:hint="eastAsia" w:ascii="仿宋_GB2312" w:hAnsi="仿宋" w:eastAsia="仿宋_GB2312" w:cs="Arial"/>
                <w:b/>
                <w:bCs/>
                <w:sz w:val="24"/>
                <w:szCs w:val="24"/>
              </w:rPr>
              <w:t>部门</w:t>
            </w:r>
          </w:p>
        </w:tc>
        <w:tc>
          <w:tcPr>
            <w:tcW w:w="3402" w:type="dxa"/>
            <w:vAlign w:val="center"/>
          </w:tcPr>
          <w:p>
            <w:pPr>
              <w:spacing w:after="0" w:line="560" w:lineRule="exact"/>
              <w:jc w:val="center"/>
              <w:rPr>
                <w:rFonts w:ascii="仿宋_GB2312" w:hAnsi="仿宋" w:eastAsia="仿宋_GB2312" w:cs="Arial"/>
                <w:b/>
                <w:bCs/>
                <w:sz w:val="24"/>
                <w:szCs w:val="24"/>
              </w:rPr>
            </w:pPr>
            <w:r>
              <w:rPr>
                <w:rFonts w:hint="eastAsia" w:ascii="仿宋_GB2312" w:hAnsi="仿宋" w:eastAsia="仿宋_GB2312" w:cs="Arial"/>
                <w:b/>
                <w:bCs/>
                <w:sz w:val="24"/>
                <w:szCs w:val="24"/>
              </w:rPr>
              <w:t>访谈内容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tcPr>
          <w:p>
            <w:pPr>
              <w:spacing w:after="0" w:line="560" w:lineRule="exact"/>
              <w:rPr>
                <w:rFonts w:ascii="仿宋_GB2312" w:hAnsi="仿宋" w:eastAsia="仿宋_GB2312"/>
                <w:sz w:val="24"/>
                <w:szCs w:val="24"/>
              </w:rPr>
            </w:pPr>
          </w:p>
        </w:tc>
        <w:tc>
          <w:tcPr>
            <w:tcW w:w="2226" w:type="dxa"/>
          </w:tcPr>
          <w:p>
            <w:pPr>
              <w:spacing w:after="0" w:line="560" w:lineRule="exact"/>
              <w:rPr>
                <w:rFonts w:ascii="仿宋_GB2312" w:hAnsi="仿宋" w:eastAsia="仿宋_GB2312"/>
                <w:sz w:val="24"/>
                <w:szCs w:val="24"/>
              </w:rPr>
            </w:pPr>
          </w:p>
        </w:tc>
        <w:tc>
          <w:tcPr>
            <w:tcW w:w="2168" w:type="dxa"/>
          </w:tcPr>
          <w:p>
            <w:pPr>
              <w:spacing w:after="0" w:line="560" w:lineRule="exact"/>
              <w:rPr>
                <w:rFonts w:ascii="仿宋_GB2312" w:hAnsi="仿宋" w:eastAsia="仿宋_GB2312"/>
                <w:sz w:val="24"/>
                <w:szCs w:val="24"/>
              </w:rPr>
            </w:pPr>
          </w:p>
        </w:tc>
        <w:tc>
          <w:tcPr>
            <w:tcW w:w="3402" w:type="dxa"/>
          </w:tcPr>
          <w:p>
            <w:pPr>
              <w:spacing w:after="0" w:line="560" w:lineRule="exact"/>
              <w:rPr>
                <w:rFonts w:ascii="仿宋_GB2312" w:hAnsi="仿宋"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tcPr>
          <w:p>
            <w:pPr>
              <w:spacing w:after="0" w:line="560" w:lineRule="exact"/>
              <w:rPr>
                <w:rFonts w:ascii="仿宋_GB2312" w:hAnsi="仿宋" w:eastAsia="仿宋_GB2312"/>
                <w:sz w:val="24"/>
                <w:szCs w:val="24"/>
              </w:rPr>
            </w:pPr>
          </w:p>
        </w:tc>
        <w:tc>
          <w:tcPr>
            <w:tcW w:w="2226" w:type="dxa"/>
          </w:tcPr>
          <w:p>
            <w:pPr>
              <w:spacing w:after="0" w:line="560" w:lineRule="exact"/>
              <w:rPr>
                <w:rFonts w:ascii="仿宋_GB2312" w:hAnsi="仿宋" w:eastAsia="仿宋_GB2312"/>
                <w:sz w:val="24"/>
                <w:szCs w:val="24"/>
              </w:rPr>
            </w:pPr>
          </w:p>
        </w:tc>
        <w:tc>
          <w:tcPr>
            <w:tcW w:w="2168" w:type="dxa"/>
          </w:tcPr>
          <w:p>
            <w:pPr>
              <w:spacing w:after="0" w:line="560" w:lineRule="exact"/>
              <w:rPr>
                <w:rFonts w:ascii="仿宋_GB2312" w:hAnsi="仿宋" w:eastAsia="仿宋_GB2312"/>
                <w:sz w:val="24"/>
                <w:szCs w:val="24"/>
              </w:rPr>
            </w:pPr>
          </w:p>
        </w:tc>
        <w:tc>
          <w:tcPr>
            <w:tcW w:w="3402" w:type="dxa"/>
          </w:tcPr>
          <w:p>
            <w:pPr>
              <w:spacing w:after="0" w:line="560" w:lineRule="exact"/>
              <w:rPr>
                <w:rFonts w:ascii="仿宋_GB2312" w:hAnsi="仿宋"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tcPr>
          <w:p>
            <w:pPr>
              <w:spacing w:after="0" w:line="560" w:lineRule="exact"/>
              <w:rPr>
                <w:rFonts w:ascii="仿宋_GB2312" w:hAnsi="仿宋" w:eastAsia="仿宋_GB2312"/>
                <w:sz w:val="24"/>
                <w:szCs w:val="24"/>
              </w:rPr>
            </w:pPr>
          </w:p>
        </w:tc>
        <w:tc>
          <w:tcPr>
            <w:tcW w:w="2226" w:type="dxa"/>
          </w:tcPr>
          <w:p>
            <w:pPr>
              <w:spacing w:after="0" w:line="560" w:lineRule="exact"/>
              <w:rPr>
                <w:rFonts w:ascii="仿宋_GB2312" w:hAnsi="仿宋" w:eastAsia="仿宋_GB2312"/>
                <w:sz w:val="24"/>
                <w:szCs w:val="24"/>
              </w:rPr>
            </w:pPr>
          </w:p>
        </w:tc>
        <w:tc>
          <w:tcPr>
            <w:tcW w:w="2168" w:type="dxa"/>
          </w:tcPr>
          <w:p>
            <w:pPr>
              <w:spacing w:after="0" w:line="560" w:lineRule="exact"/>
              <w:rPr>
                <w:rFonts w:ascii="仿宋_GB2312" w:hAnsi="仿宋" w:eastAsia="仿宋_GB2312"/>
                <w:sz w:val="24"/>
                <w:szCs w:val="24"/>
              </w:rPr>
            </w:pPr>
          </w:p>
        </w:tc>
        <w:tc>
          <w:tcPr>
            <w:tcW w:w="3402" w:type="dxa"/>
          </w:tcPr>
          <w:p>
            <w:pPr>
              <w:spacing w:after="0" w:line="560" w:lineRule="exact"/>
              <w:rPr>
                <w:rFonts w:ascii="仿宋_GB2312" w:hAnsi="仿宋"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6" w:type="dxa"/>
          </w:tcPr>
          <w:p>
            <w:pPr>
              <w:spacing w:after="0" w:line="560" w:lineRule="exact"/>
              <w:rPr>
                <w:rFonts w:ascii="仿宋_GB2312" w:hAnsi="仿宋" w:eastAsia="仿宋_GB2312"/>
                <w:sz w:val="24"/>
                <w:szCs w:val="24"/>
              </w:rPr>
            </w:pPr>
          </w:p>
        </w:tc>
        <w:tc>
          <w:tcPr>
            <w:tcW w:w="2226" w:type="dxa"/>
          </w:tcPr>
          <w:p>
            <w:pPr>
              <w:spacing w:after="0" w:line="560" w:lineRule="exact"/>
              <w:rPr>
                <w:rFonts w:ascii="仿宋_GB2312" w:hAnsi="仿宋" w:eastAsia="仿宋_GB2312"/>
                <w:sz w:val="24"/>
                <w:szCs w:val="24"/>
              </w:rPr>
            </w:pPr>
          </w:p>
        </w:tc>
        <w:tc>
          <w:tcPr>
            <w:tcW w:w="2168" w:type="dxa"/>
          </w:tcPr>
          <w:p>
            <w:pPr>
              <w:spacing w:after="0" w:line="560" w:lineRule="exact"/>
              <w:rPr>
                <w:rFonts w:ascii="仿宋_GB2312" w:hAnsi="仿宋" w:eastAsia="仿宋_GB2312"/>
                <w:sz w:val="24"/>
                <w:szCs w:val="24"/>
              </w:rPr>
            </w:pPr>
          </w:p>
        </w:tc>
        <w:tc>
          <w:tcPr>
            <w:tcW w:w="3402" w:type="dxa"/>
          </w:tcPr>
          <w:p>
            <w:pPr>
              <w:spacing w:after="0" w:line="560" w:lineRule="exact"/>
              <w:rPr>
                <w:rFonts w:ascii="仿宋_GB2312" w:hAnsi="仿宋" w:eastAsia="仿宋_GB2312"/>
                <w:sz w:val="24"/>
                <w:szCs w:val="24"/>
              </w:rPr>
            </w:pPr>
          </w:p>
        </w:tc>
      </w:tr>
    </w:tbl>
    <w:p>
      <w:pPr>
        <w:spacing w:after="0" w:line="560" w:lineRule="exact"/>
        <w:jc w:val="both"/>
        <w:rPr>
          <w:rFonts w:ascii="仿宋_GB2312" w:hAnsi="仿宋" w:eastAsia="仿宋_GB2312"/>
          <w:sz w:val="32"/>
          <w:szCs w:val="32"/>
        </w:rPr>
      </w:pPr>
      <w:r>
        <w:rPr>
          <w:rFonts w:hint="eastAsia" w:ascii="仿宋_GB2312" w:hAnsi="仿宋" w:eastAsia="仿宋_GB2312"/>
          <w:sz w:val="32"/>
          <w:szCs w:val="32"/>
        </w:rPr>
        <w:t xml:space="preserve">    文件评审及现场访问的核查发现将具体在报告的第三部分详细描述。</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2.4 核查报告编写及内部技术复核</w:t>
      </w:r>
    </w:p>
    <w:p>
      <w:pPr>
        <w:spacing w:after="0" w:line="560" w:lineRule="exact"/>
        <w:ind w:firstLine="552"/>
        <w:jc w:val="both"/>
        <w:rPr>
          <w:rFonts w:ascii="仿宋_GB2312" w:hAnsi="仿宋" w:eastAsia="仿宋_GB2312"/>
          <w:sz w:val="32"/>
          <w:szCs w:val="32"/>
        </w:rPr>
      </w:pPr>
      <w:r>
        <w:rPr>
          <w:rFonts w:hint="eastAsia" w:ascii="仿宋_GB2312" w:hAnsi="仿宋" w:eastAsia="仿宋_GB2312"/>
          <w:sz w:val="32"/>
          <w:szCs w:val="32"/>
        </w:rPr>
        <w:t>核查机构应在核查报告中描述核查报告编写的过程和内部技术复核的过程，内容可包括：</w:t>
      </w:r>
    </w:p>
    <w:p>
      <w:pPr>
        <w:widowControl w:val="0"/>
        <w:numPr>
          <w:ilvl w:val="0"/>
          <w:numId w:val="1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核查组开具了几个不符合；</w:t>
      </w:r>
    </w:p>
    <w:p>
      <w:pPr>
        <w:widowControl w:val="0"/>
        <w:numPr>
          <w:ilvl w:val="0"/>
          <w:numId w:val="1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将不符合发给重点碳排放单位的时间以及不符合关闭的时间；</w:t>
      </w:r>
    </w:p>
    <w:p>
      <w:pPr>
        <w:widowControl w:val="0"/>
        <w:numPr>
          <w:ilvl w:val="0"/>
          <w:numId w:val="1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准备核查报告的时间；</w:t>
      </w:r>
    </w:p>
    <w:p>
      <w:pPr>
        <w:widowControl w:val="0"/>
        <w:numPr>
          <w:ilvl w:val="0"/>
          <w:numId w:val="10"/>
        </w:numPr>
        <w:spacing w:after="0" w:line="560" w:lineRule="exact"/>
        <w:ind w:left="851" w:hanging="299"/>
        <w:jc w:val="both"/>
        <w:rPr>
          <w:rFonts w:ascii="仿宋_GB2312" w:hAnsi="仿宋" w:eastAsia="仿宋_GB2312"/>
          <w:sz w:val="32"/>
          <w:szCs w:val="32"/>
        </w:rPr>
      </w:pPr>
      <w:r>
        <w:rPr>
          <w:rFonts w:hint="eastAsia" w:ascii="仿宋_GB2312" w:hAnsi="仿宋" w:eastAsia="仿宋_GB2312"/>
          <w:sz w:val="32"/>
          <w:szCs w:val="32"/>
        </w:rPr>
        <w:t>核查机构如何安排内部技术复核以及采取其他的质量控制措施等。</w:t>
      </w:r>
    </w:p>
    <w:p>
      <w:pPr>
        <w:spacing w:after="0" w:line="560" w:lineRule="exact"/>
        <w:ind w:firstLine="549" w:firstLineChars="171"/>
        <w:outlineLvl w:val="0"/>
        <w:rPr>
          <w:rFonts w:ascii="仿宋_GB2312" w:hAnsi="仿宋" w:eastAsia="仿宋_GB2312"/>
          <w:b/>
          <w:sz w:val="32"/>
          <w:szCs w:val="32"/>
        </w:rPr>
      </w:pPr>
      <w:r>
        <w:rPr>
          <w:rFonts w:hint="eastAsia" w:ascii="仿宋_GB2312" w:hAnsi="仿宋" w:eastAsia="仿宋_GB2312"/>
          <w:b/>
          <w:sz w:val="32"/>
          <w:szCs w:val="32"/>
        </w:rPr>
        <w:t>3 .核查发现</w:t>
      </w:r>
    </w:p>
    <w:p>
      <w:pPr>
        <w:widowControl w:val="0"/>
        <w:numPr>
          <w:ilvl w:val="1"/>
          <w:numId w:val="11"/>
        </w:numPr>
        <w:spacing w:after="0" w:line="560" w:lineRule="exact"/>
        <w:ind w:left="-2" w:leftChars="-1" w:firstLine="488" w:firstLineChars="152"/>
        <w:jc w:val="both"/>
        <w:rPr>
          <w:rFonts w:ascii="仿宋_GB2312" w:hAnsi="仿宋" w:eastAsia="仿宋_GB2312"/>
          <w:b/>
          <w:sz w:val="32"/>
          <w:szCs w:val="32"/>
        </w:rPr>
      </w:pPr>
      <w:r>
        <w:rPr>
          <w:rFonts w:hint="eastAsia" w:ascii="仿宋_GB2312" w:hAnsi="仿宋" w:eastAsia="仿宋_GB2312"/>
          <w:b/>
          <w:sz w:val="32"/>
          <w:szCs w:val="32"/>
        </w:rPr>
        <w:t>重点碳排放单位的基本信息</w:t>
      </w:r>
    </w:p>
    <w:p>
      <w:pPr>
        <w:spacing w:after="0" w:line="560" w:lineRule="exact"/>
        <w:ind w:firstLine="549" w:firstLineChars="171"/>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核查机构应对重点碳排放单位报送的基本信息进行核查，并在核查报告中描述以下核查发现：</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重点碳排放单位简介，如重点碳排放单位名称、所属行业、地理位置、成立时间、所有制性质、规模、隶属关系等；</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重点碳排放单位的组织结构；</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重点碳排放单位主要的产品或服务。如为工业企业，基本信息应包括生产的产品及生产工艺等相关指标；如为服务业，基本信息应包括服务范围及流程等；</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重点碳排放单位能源管理现状，包括使用能源的品种，能源计量统计及能源审计情况、年度能源统计报告等；</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重点碳排放单位的废弃物处理（如适用）现状;</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如重点碳排放单位存在既有设施退出、新增排放设施、新增替代既有设施的情况，应做简要描述；</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以往年份的二氧化碳排放的履约情况,包括履约的方式,比如自我控制排放的实施方式、购买信用额度以及购买配额的详细情况；</w:t>
      </w:r>
    </w:p>
    <w:p>
      <w:pPr>
        <w:widowControl w:val="0"/>
        <w:numPr>
          <w:ilvl w:val="0"/>
          <w:numId w:val="12"/>
        </w:numPr>
        <w:spacing w:after="0" w:line="560" w:lineRule="exact"/>
        <w:ind w:left="110" w:firstLine="550"/>
        <w:jc w:val="both"/>
        <w:rPr>
          <w:rFonts w:ascii="仿宋_GB2312" w:hAnsi="仿宋" w:eastAsia="仿宋_GB2312"/>
          <w:sz w:val="32"/>
          <w:szCs w:val="32"/>
        </w:rPr>
      </w:pPr>
      <w:r>
        <w:rPr>
          <w:rFonts w:hint="eastAsia" w:ascii="仿宋_GB2312" w:hAnsi="仿宋" w:eastAsia="仿宋_GB2312"/>
          <w:sz w:val="32"/>
          <w:szCs w:val="32"/>
        </w:rPr>
        <w:t>简要描述不符合(如有),详细描述及纠正措施链接核查报告附件1。</w:t>
      </w:r>
    </w:p>
    <w:p>
      <w:pPr>
        <w:spacing w:after="0" w:line="560" w:lineRule="exact"/>
        <w:ind w:firstLine="790" w:firstLineChars="246"/>
        <w:outlineLvl w:val="0"/>
        <w:rPr>
          <w:rFonts w:ascii="仿宋_GB2312" w:hAnsi="仿宋" w:eastAsia="仿宋_GB2312"/>
          <w:b/>
          <w:sz w:val="32"/>
          <w:szCs w:val="32"/>
        </w:rPr>
      </w:pPr>
      <w:r>
        <w:rPr>
          <w:rFonts w:hint="eastAsia" w:ascii="仿宋_GB2312" w:hAnsi="仿宋" w:eastAsia="仿宋_GB2312"/>
          <w:b/>
          <w:sz w:val="32"/>
          <w:szCs w:val="32"/>
        </w:rPr>
        <w:t>B）核查方法</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查阅重点碳排放单位的法人证书、机构简介，与机构相关负责人进行交流访谈；</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了解能源和二氧化碳管理机构，查阅相关部门、岗位的职责书及培训记录。</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3.2 重点碳排放单位的设施边界及排放源识别</w:t>
      </w:r>
    </w:p>
    <w:p>
      <w:pPr>
        <w:spacing w:after="0" w:line="560" w:lineRule="exact"/>
        <w:ind w:firstLine="659" w:firstLineChars="205"/>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核查机构应对重点碳排放单位报送设备信息和重点排放设施等的信息进行核查，并在核查报告中描述如下核查发现：</w:t>
      </w:r>
    </w:p>
    <w:p>
      <w:pPr>
        <w:widowControl w:val="0"/>
        <w:numPr>
          <w:ilvl w:val="0"/>
          <w:numId w:val="14"/>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重点碳排放单位的场所边界、设施边界是否与以往年份保持一致；</w:t>
      </w:r>
    </w:p>
    <w:p>
      <w:pPr>
        <w:widowControl w:val="0"/>
        <w:numPr>
          <w:ilvl w:val="0"/>
          <w:numId w:val="14"/>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重点碳排放单位的场所边界、设施边界与适用的地方标准或核算和报告指南的符合情况；</w:t>
      </w:r>
    </w:p>
    <w:p>
      <w:pPr>
        <w:widowControl w:val="0"/>
        <w:numPr>
          <w:ilvl w:val="0"/>
          <w:numId w:val="14"/>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非道路运输行业的排放报告中的每一个排放设施的名称、型号和物理位置是否与现场确认的一致；</w:t>
      </w:r>
    </w:p>
    <w:p>
      <w:pPr>
        <w:widowControl w:val="0"/>
        <w:numPr>
          <w:ilvl w:val="0"/>
          <w:numId w:val="14"/>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道路运输业企业的排放报告中公共电汽车车辆、运营车辆总数、飞</w:t>
      </w:r>
      <w:r>
        <w:rPr>
          <w:rFonts w:ascii="仿宋_GB2312" w:hAnsi="仿宋" w:eastAsia="仿宋_GB2312"/>
          <w:sz w:val="32"/>
          <w:szCs w:val="32"/>
        </w:rPr>
        <w:t>机</w:t>
      </w:r>
      <w:r>
        <w:rPr>
          <w:rFonts w:hint="eastAsia" w:ascii="仿宋_GB2312" w:hAnsi="仿宋" w:eastAsia="仿宋_GB2312"/>
          <w:sz w:val="32"/>
          <w:szCs w:val="32"/>
        </w:rPr>
        <w:t>总数及燃料消耗类型等是否与现场确认的一致；</w:t>
      </w:r>
    </w:p>
    <w:p>
      <w:pPr>
        <w:widowControl w:val="0"/>
        <w:numPr>
          <w:ilvl w:val="0"/>
          <w:numId w:val="14"/>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道路运输业企业的排放报告中轨道交通的线路、配属车辆数量等是否与现场确认的一致；</w:t>
      </w:r>
    </w:p>
    <w:p>
      <w:pPr>
        <w:widowControl w:val="0"/>
        <w:numPr>
          <w:ilvl w:val="0"/>
          <w:numId w:val="14"/>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如核查机构采用对场所和数据抽样的方式实施核查，应在核查报告中详细说明抽样方案与数量等，同时核查报告中应清楚描述出本年度场所抽样与去年场所抽样情况的差别并确定是否核查指南的要求；</w:t>
      </w:r>
    </w:p>
    <w:p>
      <w:pPr>
        <w:widowControl w:val="0"/>
        <w:numPr>
          <w:ilvl w:val="0"/>
          <w:numId w:val="14"/>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简要描述不符合(如有),详细描述及纠正措施链接核查报告附件1。</w:t>
      </w:r>
    </w:p>
    <w:p>
      <w:pPr>
        <w:spacing w:after="0" w:line="560" w:lineRule="exact"/>
        <w:ind w:firstLine="472" w:firstLineChars="147"/>
        <w:outlineLvl w:val="0"/>
        <w:rPr>
          <w:rFonts w:ascii="仿宋_GB2312" w:hAnsi="仿宋" w:eastAsia="仿宋_GB2312"/>
          <w:b/>
          <w:sz w:val="32"/>
          <w:szCs w:val="32"/>
        </w:rPr>
      </w:pPr>
      <w:r>
        <w:rPr>
          <w:rFonts w:hint="eastAsia" w:ascii="仿宋_GB2312" w:hAnsi="仿宋" w:eastAsia="仿宋_GB2312"/>
          <w:b/>
          <w:sz w:val="32"/>
          <w:szCs w:val="32"/>
        </w:rPr>
        <w:t>B)核查方法</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核查机构可通过以下方式来验证重点碳排放单位报告的设施的真实性：</w:t>
      </w:r>
    </w:p>
    <w:p>
      <w:pPr>
        <w:widowControl w:val="0"/>
        <w:numPr>
          <w:ilvl w:val="0"/>
          <w:numId w:val="1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与设备管理人员进行交谈；</w:t>
      </w:r>
    </w:p>
    <w:p>
      <w:pPr>
        <w:widowControl w:val="0"/>
        <w:numPr>
          <w:ilvl w:val="0"/>
          <w:numId w:val="1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现场观察设施或交通运输业运行线路图或统计信息；</w:t>
      </w:r>
    </w:p>
    <w:p>
      <w:pPr>
        <w:widowControl w:val="0"/>
        <w:numPr>
          <w:ilvl w:val="0"/>
          <w:numId w:val="1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查阅可行性研究报告的批复；</w:t>
      </w:r>
    </w:p>
    <w:p>
      <w:pPr>
        <w:widowControl w:val="0"/>
        <w:numPr>
          <w:ilvl w:val="0"/>
          <w:numId w:val="1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查阅环境影响评价报告及年度环境监测报告等。</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3.3 核算方法</w:t>
      </w:r>
      <w:r>
        <w:rPr>
          <w:rFonts w:hint="eastAsia" w:ascii="仿宋_GB2312" w:hAnsi="仿宋" w:eastAsia="仿宋_GB2312"/>
          <w:sz w:val="32"/>
          <w:szCs w:val="32"/>
        </w:rPr>
        <w:t>、</w:t>
      </w:r>
      <w:r>
        <w:rPr>
          <w:rFonts w:hint="eastAsia" w:ascii="仿宋_GB2312" w:hAnsi="仿宋" w:eastAsia="仿宋_GB2312"/>
          <w:b/>
          <w:sz w:val="32"/>
          <w:szCs w:val="32"/>
        </w:rPr>
        <w:t>数据与《企业(单位)二氧化碳核算与报告指南》的符合性</w:t>
      </w:r>
    </w:p>
    <w:p>
      <w:pPr>
        <w:spacing w:after="0" w:line="560" w:lineRule="exact"/>
        <w:ind w:firstLine="659" w:firstLineChars="205"/>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3.3.1核算方法的符合性</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核查机构应对重点碳排放单位的二氧化碳核算方法进行核查,确定核算方法的选择符合适用地方标准或核算和报告指南的要求。对任何偏离指南要求的核算应予以详细说明。</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3.3.2数据的符合性</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核查机构应按照如下格式报告重点排放单位所核算参数的单位、描述以及是否制订监测计划。并在下面的3.3.2.1～3.3.2.4章节报告每个参数的详细核查发现。</w:t>
      </w:r>
    </w:p>
    <w:tbl>
      <w:tblPr>
        <w:tblStyle w:val="35"/>
        <w:tblW w:w="87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7"/>
        <w:gridCol w:w="457"/>
        <w:gridCol w:w="1164"/>
        <w:gridCol w:w="989"/>
        <w:gridCol w:w="990"/>
        <w:gridCol w:w="3181"/>
        <w:gridCol w:w="1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blHeader/>
          <w:jc w:val="center"/>
        </w:trPr>
        <w:tc>
          <w:tcPr>
            <w:tcW w:w="2075" w:type="dxa"/>
            <w:gridSpan w:val="3"/>
            <w:vAlign w:val="center"/>
          </w:tcPr>
          <w:p>
            <w:pPr>
              <w:keepNext w:val="0"/>
              <w:keepLines w:val="0"/>
              <w:pageBreakBefore w:val="0"/>
              <w:kinsoku/>
              <w:wordWrap/>
              <w:overflowPunct/>
              <w:topLinePunct w:val="0"/>
              <w:autoSpaceDE/>
              <w:autoSpaceDN/>
              <w:bidi w:val="0"/>
              <w:adjustRightInd/>
              <w:snapToGrid/>
              <w:spacing w:after="0" w:line="320" w:lineRule="exact"/>
              <w:jc w:val="center"/>
              <w:textAlignment w:val="auto"/>
              <w:rPr>
                <w:rFonts w:ascii="仿宋" w:hAnsi="仿宋" w:eastAsia="仿宋"/>
                <w:b/>
                <w:sz w:val="24"/>
                <w:szCs w:val="24"/>
              </w:rPr>
            </w:pPr>
          </w:p>
        </w:tc>
        <w:tc>
          <w:tcPr>
            <w:tcW w:w="989" w:type="dxa"/>
            <w:vAlign w:val="center"/>
          </w:tcPr>
          <w:p>
            <w:pPr>
              <w:keepNext w:val="0"/>
              <w:keepLines w:val="0"/>
              <w:pageBreakBefore w:val="0"/>
              <w:kinsoku/>
              <w:wordWrap/>
              <w:overflowPunct/>
              <w:topLinePunct w:val="0"/>
              <w:autoSpaceDE/>
              <w:autoSpaceDN/>
              <w:bidi w:val="0"/>
              <w:adjustRightInd/>
              <w:snapToGrid/>
              <w:spacing w:after="0" w:line="320" w:lineRule="exact"/>
              <w:jc w:val="center"/>
              <w:textAlignment w:val="auto"/>
              <w:rPr>
                <w:rFonts w:ascii="仿宋" w:hAnsi="仿宋" w:eastAsia="仿宋"/>
                <w:b/>
                <w:sz w:val="24"/>
                <w:szCs w:val="24"/>
              </w:rPr>
            </w:pPr>
            <w:r>
              <w:rPr>
                <w:rFonts w:hint="eastAsia" w:ascii="仿宋" w:hAnsi="仿宋" w:eastAsia="仿宋"/>
                <w:b/>
                <w:sz w:val="24"/>
                <w:szCs w:val="24"/>
              </w:rPr>
              <w:t>参数</w:t>
            </w:r>
          </w:p>
        </w:tc>
        <w:tc>
          <w:tcPr>
            <w:tcW w:w="990" w:type="dxa"/>
            <w:vAlign w:val="center"/>
          </w:tcPr>
          <w:p>
            <w:pPr>
              <w:keepNext w:val="0"/>
              <w:keepLines w:val="0"/>
              <w:pageBreakBefore w:val="0"/>
              <w:kinsoku/>
              <w:wordWrap/>
              <w:overflowPunct/>
              <w:topLinePunct w:val="0"/>
              <w:autoSpaceDE/>
              <w:autoSpaceDN/>
              <w:bidi w:val="0"/>
              <w:adjustRightInd/>
              <w:snapToGrid/>
              <w:spacing w:after="0" w:line="320" w:lineRule="exact"/>
              <w:jc w:val="center"/>
              <w:textAlignment w:val="auto"/>
              <w:rPr>
                <w:rFonts w:ascii="仿宋" w:hAnsi="仿宋" w:eastAsia="仿宋"/>
                <w:b/>
                <w:sz w:val="24"/>
                <w:szCs w:val="24"/>
              </w:rPr>
            </w:pPr>
            <w:r>
              <w:rPr>
                <w:rFonts w:hint="eastAsia" w:ascii="仿宋" w:hAnsi="仿宋" w:eastAsia="仿宋"/>
                <w:b/>
                <w:sz w:val="24"/>
                <w:szCs w:val="24"/>
              </w:rPr>
              <w:t>单位</w:t>
            </w:r>
          </w:p>
        </w:tc>
        <w:tc>
          <w:tcPr>
            <w:tcW w:w="3183" w:type="dxa"/>
            <w:vAlign w:val="center"/>
          </w:tcPr>
          <w:p>
            <w:pPr>
              <w:keepNext w:val="0"/>
              <w:keepLines w:val="0"/>
              <w:pageBreakBefore w:val="0"/>
              <w:kinsoku/>
              <w:wordWrap/>
              <w:overflowPunct/>
              <w:topLinePunct w:val="0"/>
              <w:autoSpaceDE/>
              <w:autoSpaceDN/>
              <w:bidi w:val="0"/>
              <w:adjustRightInd/>
              <w:snapToGrid/>
              <w:spacing w:after="0" w:line="320" w:lineRule="exact"/>
              <w:jc w:val="center"/>
              <w:textAlignment w:val="auto"/>
              <w:rPr>
                <w:rFonts w:ascii="仿宋" w:hAnsi="仿宋" w:eastAsia="仿宋"/>
                <w:b/>
                <w:sz w:val="24"/>
                <w:szCs w:val="24"/>
              </w:rPr>
            </w:pPr>
            <w:r>
              <w:rPr>
                <w:rFonts w:hint="eastAsia" w:ascii="仿宋" w:hAnsi="仿宋" w:eastAsia="仿宋"/>
                <w:b/>
                <w:sz w:val="24"/>
                <w:szCs w:val="24"/>
              </w:rPr>
              <w:t>参数描述</w:t>
            </w:r>
          </w:p>
        </w:tc>
        <w:tc>
          <w:tcPr>
            <w:tcW w:w="1521" w:type="dxa"/>
            <w:vAlign w:val="center"/>
          </w:tcPr>
          <w:p>
            <w:pPr>
              <w:keepNext w:val="0"/>
              <w:keepLines w:val="0"/>
              <w:pageBreakBefore w:val="0"/>
              <w:kinsoku/>
              <w:wordWrap/>
              <w:overflowPunct/>
              <w:topLinePunct w:val="0"/>
              <w:autoSpaceDE/>
              <w:autoSpaceDN/>
              <w:bidi w:val="0"/>
              <w:adjustRightInd/>
              <w:snapToGrid/>
              <w:spacing w:after="0" w:line="320" w:lineRule="exact"/>
              <w:jc w:val="center"/>
              <w:textAlignment w:val="auto"/>
              <w:rPr>
                <w:rFonts w:ascii="仿宋" w:hAnsi="仿宋" w:eastAsia="仿宋"/>
                <w:b/>
                <w:sz w:val="24"/>
                <w:szCs w:val="24"/>
              </w:rPr>
            </w:pPr>
            <w:r>
              <w:rPr>
                <w:rFonts w:hint="eastAsia" w:ascii="仿宋" w:hAnsi="仿宋" w:eastAsia="仿宋"/>
                <w:b/>
                <w:sz w:val="24"/>
                <w:szCs w:val="24"/>
              </w:rPr>
              <w:t>是否制订</w:t>
            </w:r>
          </w:p>
          <w:p>
            <w:pPr>
              <w:keepNext w:val="0"/>
              <w:keepLines w:val="0"/>
              <w:pageBreakBefore w:val="0"/>
              <w:kinsoku/>
              <w:wordWrap/>
              <w:overflowPunct/>
              <w:topLinePunct w:val="0"/>
              <w:autoSpaceDE/>
              <w:autoSpaceDN/>
              <w:bidi w:val="0"/>
              <w:adjustRightInd/>
              <w:snapToGrid/>
              <w:spacing w:after="0" w:line="320" w:lineRule="exact"/>
              <w:jc w:val="center"/>
              <w:textAlignment w:val="auto"/>
              <w:rPr>
                <w:rFonts w:ascii="仿宋" w:hAnsi="仿宋" w:eastAsia="仿宋"/>
                <w:b/>
                <w:sz w:val="24"/>
                <w:szCs w:val="24"/>
              </w:rPr>
            </w:pPr>
            <w:r>
              <w:rPr>
                <w:rFonts w:hint="eastAsia" w:ascii="仿宋" w:hAnsi="仿宋" w:eastAsia="仿宋"/>
                <w:b/>
                <w:sz w:val="24"/>
                <w:szCs w:val="24"/>
              </w:rPr>
              <w:t>监测计划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455" w:type="dxa"/>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活</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动</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水</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平</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数</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据</w:t>
            </w:r>
          </w:p>
        </w:tc>
        <w:tc>
          <w:tcPr>
            <w:tcW w:w="455" w:type="dxa"/>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直</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接</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排</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放</w:t>
            </w: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数据1</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数据2</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数据3</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数据4</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间</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接</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排</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放</w:t>
            </w: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数据1</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数据2</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数据3</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数据4</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排</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放</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因</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子</w:t>
            </w:r>
          </w:p>
        </w:tc>
        <w:tc>
          <w:tcPr>
            <w:tcW w:w="455" w:type="dxa"/>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直</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接</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排</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放</w:t>
            </w: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数据1</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数据2</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数据3</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数据4</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间接</w:t>
            </w:r>
          </w:p>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排放</w:t>
            </w: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数据1</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数据2</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数据3</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数据4</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455" w:type="dxa"/>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其他</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ascii="仿宋" w:hAnsi="仿宋" w:eastAsia="仿宋"/>
                <w:b/>
                <w:sz w:val="24"/>
                <w:szCs w:val="24"/>
              </w:rPr>
            </w:pPr>
            <w:r>
              <w:rPr>
                <w:rFonts w:hint="eastAsia" w:ascii="仿宋" w:hAnsi="仿宋" w:eastAsia="仿宋"/>
                <w:b/>
                <w:sz w:val="24"/>
                <w:szCs w:val="24"/>
              </w:rPr>
              <w:t>数据</w:t>
            </w: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数据1</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数据2</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数据3</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数据4</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补充</w:t>
            </w:r>
          </w:p>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ascii="仿宋" w:hAnsi="仿宋" w:eastAsia="仿宋"/>
                <w:b/>
                <w:sz w:val="24"/>
                <w:szCs w:val="24"/>
              </w:rPr>
            </w:pPr>
            <w:r>
              <w:rPr>
                <w:rFonts w:hint="eastAsia" w:ascii="仿宋" w:hAnsi="仿宋" w:eastAsia="仿宋"/>
                <w:b/>
                <w:sz w:val="24"/>
                <w:szCs w:val="24"/>
              </w:rPr>
              <w:t>数据</w:t>
            </w: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r>
              <w:rPr>
                <w:rFonts w:ascii="仿宋" w:hAnsi="仿宋" w:eastAsia="仿宋"/>
                <w:b/>
                <w:sz w:val="24"/>
                <w:szCs w:val="24"/>
              </w:rPr>
              <w:t>1</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r>
              <w:rPr>
                <w:rFonts w:ascii="仿宋" w:hAnsi="仿宋" w:eastAsia="仿宋"/>
                <w:b/>
                <w:sz w:val="24"/>
                <w:szCs w:val="24"/>
              </w:rPr>
              <w:t>2</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r>
              <w:rPr>
                <w:rFonts w:ascii="仿宋" w:hAnsi="仿宋" w:eastAsia="仿宋"/>
                <w:b/>
                <w:sz w:val="24"/>
                <w:szCs w:val="24"/>
              </w:rPr>
              <w:t>3</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r>
              <w:rPr>
                <w:rFonts w:ascii="仿宋" w:hAnsi="仿宋" w:eastAsia="仿宋"/>
                <w:b/>
                <w:sz w:val="24"/>
                <w:szCs w:val="24"/>
              </w:rPr>
              <w:t>4</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restart"/>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r>
              <w:rPr>
                <w:rFonts w:hint="eastAsia" w:ascii="仿宋" w:hAnsi="仿宋" w:eastAsia="仿宋"/>
                <w:b/>
                <w:sz w:val="24"/>
                <w:szCs w:val="24"/>
              </w:rPr>
              <w:t>实时监测的数据</w:t>
            </w: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数据1</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数据2</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数据3</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93"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数据4</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02" w:hRule="atLeast"/>
          <w:jc w:val="center"/>
        </w:trPr>
        <w:tc>
          <w:tcPr>
            <w:tcW w:w="910" w:type="dxa"/>
            <w:gridSpan w:val="2"/>
            <w:vMerge w:val="continue"/>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b/>
                <w:sz w:val="24"/>
                <w:szCs w:val="24"/>
              </w:rPr>
            </w:pPr>
          </w:p>
        </w:tc>
        <w:tc>
          <w:tcPr>
            <w:tcW w:w="1165" w:type="dxa"/>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textAlignment w:val="auto"/>
              <w:rPr>
                <w:rFonts w:ascii="仿宋" w:hAnsi="仿宋" w:eastAsia="仿宋"/>
                <w:b/>
                <w:sz w:val="24"/>
                <w:szCs w:val="24"/>
              </w:rPr>
            </w:pPr>
            <w:r>
              <w:rPr>
                <w:rFonts w:hint="eastAsia" w:ascii="仿宋" w:hAnsi="仿宋" w:eastAsia="仿宋"/>
                <w:b/>
                <w:sz w:val="24"/>
                <w:szCs w:val="24"/>
              </w:rPr>
              <w:t>数据…</w:t>
            </w:r>
          </w:p>
        </w:tc>
        <w:tc>
          <w:tcPr>
            <w:tcW w:w="989"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990" w:type="dxa"/>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3183"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c>
          <w:tcPr>
            <w:tcW w:w="152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仿宋" w:hAnsi="仿宋" w:eastAsia="仿宋"/>
                <w:sz w:val="24"/>
                <w:szCs w:val="24"/>
              </w:rPr>
            </w:pPr>
          </w:p>
        </w:tc>
      </w:tr>
    </w:tbl>
    <w:p>
      <w:pPr>
        <w:spacing w:after="0" w:line="560" w:lineRule="exact"/>
        <w:ind w:firstLine="659" w:firstLineChars="205"/>
        <w:rPr>
          <w:rFonts w:ascii="仿宋_GB2312" w:hAnsi="仿宋" w:eastAsia="仿宋_GB2312"/>
          <w:b/>
          <w:sz w:val="32"/>
          <w:szCs w:val="32"/>
        </w:rPr>
      </w:pPr>
    </w:p>
    <w:p>
      <w:pPr>
        <w:spacing w:after="0" w:line="560" w:lineRule="exact"/>
        <w:ind w:firstLine="659" w:firstLineChars="205"/>
        <w:outlineLvl w:val="0"/>
        <w:rPr>
          <w:rFonts w:ascii="仿宋_GB2312" w:hAnsi="仿宋" w:eastAsia="仿宋_GB2312"/>
          <w:b/>
          <w:sz w:val="32"/>
          <w:szCs w:val="32"/>
        </w:rPr>
      </w:pPr>
      <w:r>
        <w:rPr>
          <w:rFonts w:hint="eastAsia" w:ascii="仿宋_GB2312" w:hAnsi="仿宋" w:eastAsia="仿宋_GB2312"/>
          <w:b/>
          <w:sz w:val="32"/>
          <w:szCs w:val="32"/>
        </w:rPr>
        <w:t>3.3.2.1 活动水平数据的符合性</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核查重点碳排放单位报送二氧化碳直接和间接排放相关的活动水平数据及相应的表格。对每一个活动水平数据进行核查,核查的内容包括:单位、数据来源、监测方法、监测频次、记录频次、数据缺失处理、交叉核对内容，核查机构应对上述每一个核算数据的符合性进行报告。报告格式如下：</w:t>
      </w:r>
    </w:p>
    <w:p>
      <w:pPr>
        <w:spacing w:after="0" w:line="560" w:lineRule="exact"/>
        <w:ind w:firstLine="630" w:firstLineChars="196"/>
        <w:rPr>
          <w:rFonts w:hint="eastAsia" w:ascii="仿宋_GB2312" w:hAnsi="仿宋" w:eastAsia="仿宋_GB2312"/>
          <w:b/>
          <w:sz w:val="32"/>
          <w:szCs w:val="32"/>
        </w:rPr>
      </w:pPr>
    </w:p>
    <w:p>
      <w:pPr>
        <w:spacing w:after="0"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活动水平数据1（直接排放）：</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单位</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数据来源</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监测方法</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监测频次</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记录频次</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数据缺失处理</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交叉核对</w:t>
      </w:r>
    </w:p>
    <w:p>
      <w:pPr>
        <w:widowControl w:val="0"/>
        <w:numPr>
          <w:ilvl w:val="0"/>
          <w:numId w:val="1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确认的数值</w:t>
      </w:r>
    </w:p>
    <w:p>
      <w:pPr>
        <w:widowControl w:val="0"/>
        <w:numPr>
          <w:ilvl w:val="0"/>
          <w:numId w:val="16"/>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核查结论（简要描述不符合，如有。详细描述及纠正措施链接附件1）</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活动水平数据2（直接排放）：</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活动水平数据1（间接排放）：</w:t>
      </w:r>
    </w:p>
    <w:p>
      <w:pPr>
        <w:spacing w:after="0" w:line="560" w:lineRule="exact"/>
        <w:ind w:firstLine="659" w:firstLineChars="205"/>
        <w:outlineLvl w:val="0"/>
        <w:rPr>
          <w:rFonts w:ascii="仿宋_GB2312" w:hAnsi="仿宋" w:eastAsia="仿宋_GB2312"/>
          <w:b/>
          <w:sz w:val="32"/>
          <w:szCs w:val="32"/>
        </w:rPr>
      </w:pPr>
      <w:r>
        <w:rPr>
          <w:rFonts w:hint="eastAsia" w:ascii="仿宋_GB2312" w:hAnsi="仿宋" w:eastAsia="仿宋_GB2312"/>
          <w:b/>
          <w:sz w:val="32"/>
          <w:szCs w:val="32"/>
        </w:rPr>
        <w:t>3.3.2.2 排放因子的符合性</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核查重点碳排放单位报送的排放因子数据及相应的表格以及各个行业的特定表格，应对每一个排放因子进行核查,核查的内容包括:单位、数据来源、监测方法、监测频次、记录频次、数据缺失处理、交叉核对内容，核查机构应对上述每一个核算数据的符合性进行报告。如果排放因子为缺省值,可适当删减上述核查内容。报告格式如下：</w:t>
      </w:r>
    </w:p>
    <w:p>
      <w:pPr>
        <w:spacing w:after="0"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排放因子参数1（直接排放）：</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单位</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数据来源</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监测方法</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监测频次</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记录频次</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数据缺失处理</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交叉核对</w:t>
      </w:r>
    </w:p>
    <w:p>
      <w:pPr>
        <w:widowControl w:val="0"/>
        <w:numPr>
          <w:ilvl w:val="0"/>
          <w:numId w:val="17"/>
        </w:numPr>
        <w:spacing w:after="0" w:line="560" w:lineRule="exact"/>
        <w:ind w:hanging="180"/>
        <w:jc w:val="both"/>
        <w:rPr>
          <w:rFonts w:ascii="仿宋_GB2312" w:hAnsi="仿宋" w:eastAsia="仿宋_GB2312"/>
          <w:sz w:val="32"/>
          <w:szCs w:val="32"/>
        </w:rPr>
      </w:pPr>
      <w:r>
        <w:rPr>
          <w:rFonts w:hint="eastAsia" w:ascii="仿宋_GB2312" w:hAnsi="仿宋" w:eastAsia="仿宋_GB2312"/>
          <w:sz w:val="32"/>
          <w:szCs w:val="32"/>
        </w:rPr>
        <w:t>确认的数值</w:t>
      </w:r>
    </w:p>
    <w:p>
      <w:pPr>
        <w:widowControl w:val="0"/>
        <w:numPr>
          <w:ilvl w:val="0"/>
          <w:numId w:val="17"/>
        </w:numPr>
        <w:spacing w:after="0" w:line="560" w:lineRule="exact"/>
        <w:ind w:left="0" w:firstLine="660"/>
        <w:jc w:val="both"/>
        <w:rPr>
          <w:rFonts w:ascii="仿宋_GB2312" w:hAnsi="仿宋" w:eastAsia="仿宋_GB2312"/>
          <w:sz w:val="32"/>
          <w:szCs w:val="32"/>
        </w:rPr>
      </w:pPr>
      <w:r>
        <w:rPr>
          <w:rFonts w:hint="eastAsia" w:ascii="仿宋_GB2312" w:hAnsi="仿宋" w:eastAsia="仿宋_GB2312"/>
          <w:sz w:val="32"/>
          <w:szCs w:val="32"/>
        </w:rPr>
        <w:t>核查结论（简要描述不符合，如有。详细描述及纠正措施链接附件1）</w:t>
      </w:r>
    </w:p>
    <w:p>
      <w:pPr>
        <w:spacing w:after="0" w:line="560" w:lineRule="exact"/>
        <w:ind w:firstLine="660"/>
        <w:rPr>
          <w:rFonts w:ascii="仿宋_GB2312" w:hAnsi="仿宋" w:eastAsia="仿宋_GB2312"/>
          <w:b/>
          <w:sz w:val="32"/>
          <w:szCs w:val="32"/>
        </w:rPr>
      </w:pPr>
      <w:r>
        <w:rPr>
          <w:rFonts w:hint="eastAsia" w:ascii="仿宋_GB2312" w:hAnsi="仿宋" w:eastAsia="仿宋_GB2312"/>
          <w:b/>
          <w:sz w:val="32"/>
          <w:szCs w:val="32"/>
        </w:rPr>
        <w:t>排放因子参数2（直接排放）：</w:t>
      </w:r>
    </w:p>
    <w:p>
      <w:pPr>
        <w:spacing w:after="0" w:line="560" w:lineRule="exact"/>
        <w:ind w:firstLine="660"/>
        <w:rPr>
          <w:rFonts w:ascii="仿宋_GB2312" w:hAnsi="仿宋" w:eastAsia="仿宋_GB2312"/>
          <w:b/>
          <w:sz w:val="32"/>
          <w:szCs w:val="32"/>
        </w:rPr>
      </w:pPr>
      <w:r>
        <w:rPr>
          <w:rFonts w:hint="eastAsia" w:ascii="仿宋_GB2312" w:hAnsi="仿宋" w:eastAsia="仿宋_GB2312"/>
          <w:b/>
          <w:sz w:val="32"/>
          <w:szCs w:val="32"/>
        </w:rPr>
        <w:t>排放因子参数1（间接排放）：</w:t>
      </w:r>
    </w:p>
    <w:p>
      <w:pPr>
        <w:spacing w:after="0" w:line="560" w:lineRule="exact"/>
        <w:ind w:firstLine="660"/>
        <w:outlineLvl w:val="0"/>
        <w:rPr>
          <w:rFonts w:ascii="仿宋_GB2312" w:hAnsi="仿宋" w:eastAsia="仿宋_GB2312"/>
          <w:b/>
          <w:sz w:val="32"/>
          <w:szCs w:val="32"/>
        </w:rPr>
      </w:pPr>
      <w:r>
        <w:rPr>
          <w:rFonts w:hint="eastAsia" w:ascii="仿宋_GB2312" w:hAnsi="仿宋" w:eastAsia="仿宋_GB2312"/>
          <w:b/>
          <w:sz w:val="32"/>
          <w:szCs w:val="32"/>
        </w:rPr>
        <w:t>3.3.2.3 其他数据及补充</w:t>
      </w:r>
      <w:r>
        <w:rPr>
          <w:rFonts w:ascii="仿宋_GB2312" w:hAnsi="仿宋" w:eastAsia="仿宋_GB2312"/>
          <w:b/>
          <w:sz w:val="32"/>
          <w:szCs w:val="32"/>
        </w:rPr>
        <w:t>信息</w:t>
      </w:r>
      <w:r>
        <w:rPr>
          <w:rFonts w:hint="eastAsia" w:ascii="仿宋_GB2312" w:hAnsi="仿宋" w:eastAsia="仿宋_GB2312"/>
          <w:b/>
          <w:sz w:val="32"/>
          <w:szCs w:val="32"/>
        </w:rPr>
        <w:t>的符合性</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其它数据和补充信息包括石油化工</w:t>
      </w:r>
      <w:r>
        <w:rPr>
          <w:rFonts w:ascii="仿宋_GB2312" w:hAnsi="仿宋" w:eastAsia="仿宋_GB2312"/>
          <w:sz w:val="32"/>
          <w:szCs w:val="32"/>
        </w:rPr>
        <w:t>、</w:t>
      </w:r>
      <w:r>
        <w:rPr>
          <w:rFonts w:hint="eastAsia" w:ascii="仿宋_GB2312" w:hAnsi="仿宋" w:eastAsia="仿宋_GB2312"/>
          <w:sz w:val="32"/>
          <w:szCs w:val="32"/>
        </w:rPr>
        <w:t>热力生产和供应、水泥制造、其他服务业（物业、数据中心、通信）、其他行业（电网、汽车制造、生物药品制品制造、污水处理和再生水供应、自来水供应）等的</w:t>
      </w:r>
      <w:r>
        <w:rPr>
          <w:rFonts w:ascii="仿宋_GB2312" w:hAnsi="仿宋" w:eastAsia="仿宋_GB2312"/>
          <w:sz w:val="32"/>
          <w:szCs w:val="32"/>
        </w:rPr>
        <w:t>生产经营服务信息和碳排放补充信息</w:t>
      </w:r>
      <w:r>
        <w:rPr>
          <w:rFonts w:hint="eastAsia" w:ascii="仿宋_GB2312" w:hAnsi="仿宋" w:eastAsia="仿宋_GB2312"/>
          <w:sz w:val="32"/>
          <w:szCs w:val="32"/>
        </w:rPr>
        <w:t>，核查机构应对其它数据及补充数据信息进行核查。对涉及到的其它数据和补充信息的核查内容包括：数据的单位、数据来源、监测方法、监测频次、记录频次、参数交叉核对、数据缺失的处理方式等内容，核查机构应对其它数据和补充数据的每一个数据的符合性进行报告，若已经在核查报告中详细描述了核查过程且不降低核查质量的前提下，此处对于其它数据和补充信息的核查可以简化描述。</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其它数据和补充信息的符合性报告格式参考</w:t>
      </w:r>
      <w:r>
        <w:rPr>
          <w:rFonts w:ascii="仿宋_GB2312" w:hAnsi="仿宋" w:eastAsia="仿宋_GB2312"/>
          <w:sz w:val="32"/>
          <w:szCs w:val="32"/>
        </w:rPr>
        <w:t>3.3.2.1</w:t>
      </w:r>
      <w:r>
        <w:rPr>
          <w:rFonts w:hint="eastAsia" w:ascii="仿宋_GB2312" w:hAnsi="仿宋" w:eastAsia="仿宋_GB2312"/>
          <w:sz w:val="32"/>
          <w:szCs w:val="32"/>
        </w:rPr>
        <w:t>。</w:t>
      </w:r>
    </w:p>
    <w:p>
      <w:pPr>
        <w:spacing w:after="0"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补充</w:t>
      </w:r>
      <w:r>
        <w:rPr>
          <w:rFonts w:ascii="仿宋_GB2312" w:hAnsi="仿宋" w:eastAsia="仿宋_GB2312"/>
          <w:sz w:val="32"/>
          <w:szCs w:val="32"/>
        </w:rPr>
        <w:t>数据表核查重点如下：</w:t>
      </w:r>
    </w:p>
    <w:p>
      <w:pPr>
        <w:spacing w:after="0" w:line="560" w:lineRule="exact"/>
        <w:ind w:firstLine="643"/>
        <w:jc w:val="center"/>
        <w:rPr>
          <w:rFonts w:ascii="仿宋_GB2312" w:hAnsi="仿宋" w:eastAsia="仿宋_GB2312"/>
          <w:b/>
          <w:sz w:val="32"/>
          <w:szCs w:val="32"/>
          <w:lang w:val="en-US"/>
        </w:rPr>
      </w:pPr>
      <w:r>
        <w:rPr>
          <w:rFonts w:hint="eastAsia" w:ascii="仿宋_GB2312" w:hAnsi="仿宋" w:eastAsia="仿宋_GB2312"/>
          <w:b/>
          <w:sz w:val="32"/>
          <w:szCs w:val="32"/>
          <w:lang w:val="en-US"/>
        </w:rPr>
        <w:t>热力生产和供应企业补充</w:t>
      </w:r>
      <w:r>
        <w:rPr>
          <w:rFonts w:ascii="仿宋_GB2312" w:hAnsi="仿宋" w:eastAsia="仿宋_GB2312"/>
          <w:b/>
          <w:sz w:val="32"/>
          <w:szCs w:val="32"/>
          <w:lang w:val="en-US"/>
        </w:rPr>
        <w:t>数据表</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689" w:type="dxa"/>
            <w:vAlign w:val="center"/>
          </w:tcPr>
          <w:p>
            <w:pPr>
              <w:spacing w:after="0" w:line="300" w:lineRule="auto"/>
              <w:jc w:val="center"/>
              <w:rPr>
                <w:rFonts w:ascii="仿宋_GB2312" w:hAnsi="仿宋" w:eastAsia="仿宋_GB2312"/>
                <w:b/>
                <w:bCs/>
                <w:sz w:val="24"/>
                <w:szCs w:val="24"/>
                <w:lang w:val="en-US"/>
              </w:rPr>
            </w:pPr>
            <w:r>
              <w:rPr>
                <w:rFonts w:hint="eastAsia" w:ascii="仿宋_GB2312" w:hAnsi="仿宋" w:eastAsia="仿宋_GB2312"/>
                <w:b/>
                <w:bCs/>
                <w:sz w:val="24"/>
                <w:szCs w:val="24"/>
                <w:lang w:val="en-US"/>
              </w:rPr>
              <w:t>报告</w:t>
            </w:r>
            <w:r>
              <w:rPr>
                <w:rFonts w:ascii="仿宋_GB2312" w:hAnsi="仿宋" w:eastAsia="仿宋_GB2312"/>
                <w:b/>
                <w:bCs/>
                <w:sz w:val="24"/>
                <w:szCs w:val="24"/>
                <w:lang w:val="en-US"/>
              </w:rPr>
              <w:t>参数</w:t>
            </w:r>
          </w:p>
        </w:tc>
        <w:tc>
          <w:tcPr>
            <w:tcW w:w="6311" w:type="dxa"/>
            <w:vAlign w:val="center"/>
          </w:tcPr>
          <w:p>
            <w:pPr>
              <w:spacing w:after="0" w:line="300" w:lineRule="auto"/>
              <w:ind w:firstLine="482"/>
              <w:jc w:val="center"/>
              <w:rPr>
                <w:rFonts w:ascii="仿宋_GB2312" w:hAnsi="仿宋" w:eastAsia="仿宋_GB2312"/>
                <w:b/>
                <w:bCs/>
                <w:sz w:val="24"/>
                <w:szCs w:val="24"/>
                <w:lang w:val="en-US"/>
              </w:rPr>
            </w:pPr>
            <w:r>
              <w:rPr>
                <w:rFonts w:hint="eastAsia" w:ascii="仿宋_GB2312" w:hAnsi="仿宋" w:eastAsia="仿宋_GB2312"/>
                <w:b/>
                <w:bCs/>
                <w:sz w:val="24"/>
                <w:szCs w:val="24"/>
                <w:lang w:val="en-US"/>
              </w:rPr>
              <w:t>核查要求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spacing w:after="120"/>
              <w:ind w:firstLine="480"/>
              <w:rPr>
                <w:rFonts w:ascii="仿宋_GB2312" w:hAnsi="仿宋" w:eastAsia="仿宋_GB2312"/>
                <w:sz w:val="24"/>
                <w:szCs w:val="24"/>
                <w:lang w:val="en-US"/>
              </w:rPr>
            </w:pPr>
            <w:r>
              <w:rPr>
                <w:rFonts w:hint="eastAsia" w:ascii="仿宋_GB2312" w:hAnsi="仿宋" w:eastAsia="仿宋_GB2312"/>
                <w:sz w:val="24"/>
                <w:szCs w:val="24"/>
                <w:lang w:val="en-US"/>
              </w:rPr>
              <w:t>各热量数据</w:t>
            </w:r>
          </w:p>
        </w:tc>
        <w:tc>
          <w:tcPr>
            <w:tcW w:w="6311" w:type="dxa"/>
            <w:vAlign w:val="center"/>
          </w:tcPr>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核查组首先应确定受核查方的供热类型（包括热源及热网类型，热源：燃气锅炉</w:t>
            </w:r>
            <w:r>
              <w:rPr>
                <w:rFonts w:ascii="仿宋_GB2312" w:hAnsi="仿宋" w:eastAsia="仿宋_GB2312"/>
                <w:sz w:val="24"/>
                <w:szCs w:val="24"/>
                <w:lang w:val="en-US"/>
              </w:rPr>
              <w:t>/燃煤锅炉/电锅炉/燃油锅炉/地源热泵/其他，热网：直供/间供），热量的数据来源是否与监测计划一致。如为计量数据，还应将报告的数据与热表抄表记录等数据交叉核对；如为计算数据，应确认计算方法的合理性，并保持各年度数据的可比性，计算用到的各</w:t>
            </w:r>
            <w:r>
              <w:rPr>
                <w:rFonts w:hint="eastAsia" w:ascii="仿宋_GB2312" w:hAnsi="仿宋" w:eastAsia="仿宋_GB2312"/>
                <w:sz w:val="24"/>
                <w:szCs w:val="24"/>
                <w:lang w:val="en-US"/>
              </w:rPr>
              <w:t>参数，均应确保其来源可信，如有测试报告，应附在核查报告中。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不同用能单元（热源锅炉房、办公生活及其他）的直接排放量</w:t>
            </w:r>
          </w:p>
        </w:tc>
        <w:tc>
          <w:tcPr>
            <w:tcW w:w="6311" w:type="dxa"/>
            <w:vAlign w:val="center"/>
          </w:tcPr>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核查组应确认受核查方化石燃料消耗量的数据来源是否与监测计划一致，并通过能源平衡表、生产月报表等相关记录交叉核对。</w:t>
            </w:r>
          </w:p>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对于天然气等可单独计量的能源，还应将报告的数据与天然气抄表记录、财务数据等数据交叉核对。</w:t>
            </w:r>
          </w:p>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如重点排放单位使用化石燃料排放因子的缺省值，核查组应确认缺省值的数据、单位正确，如使用实测值，排放因子的核查应参考核查报告编写指南第</w:t>
            </w:r>
            <w:r>
              <w:rPr>
                <w:rFonts w:ascii="仿宋_GB2312" w:hAnsi="仿宋" w:eastAsia="仿宋_GB2312"/>
                <w:sz w:val="24"/>
                <w:szCs w:val="24"/>
                <w:lang w:val="en-US"/>
              </w:rPr>
              <w:t>3.3.2.2部分的要求。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不同用能单元（热源锅炉房、热力站、中继泵站、办公生活及其他）的间接排放量</w:t>
            </w:r>
          </w:p>
        </w:tc>
        <w:tc>
          <w:tcPr>
            <w:tcW w:w="6311" w:type="dxa"/>
            <w:vAlign w:val="center"/>
          </w:tcPr>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对于各用电单元单独计量的电量，应确认监测设备的校准、数据记录等活动是否符合监测计划的要求，并核对抄表记录、各车间能源消耗台账。</w:t>
            </w:r>
          </w:p>
          <w:p>
            <w:pPr>
              <w:spacing w:after="120"/>
              <w:ind w:firstLine="480" w:firstLineChars="200"/>
              <w:jc w:val="both"/>
              <w:rPr>
                <w:rFonts w:ascii="仿宋_GB2312" w:hAnsi="仿宋" w:eastAsia="仿宋_GB2312"/>
                <w:sz w:val="24"/>
                <w:szCs w:val="24"/>
                <w:lang w:val="en-US"/>
              </w:rPr>
            </w:pPr>
            <w:r>
              <w:rPr>
                <w:rFonts w:hint="eastAsia" w:ascii="仿宋_GB2312" w:hAnsi="仿宋" w:eastAsia="仿宋_GB2312"/>
                <w:sz w:val="24"/>
                <w:szCs w:val="24"/>
                <w:lang w:val="en-US"/>
              </w:rPr>
              <w:t>如各用电单元对应的外购电力数据是通过拆分总外购电量计算得出，核查组应确认拆分的方式是否合理，并保持各年度数据的可比性。</w:t>
            </w:r>
          </w:p>
        </w:tc>
      </w:tr>
    </w:tbl>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水泥企业协同处置废弃物补充数据</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689" w:type="dxa"/>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02" w:type="dxa"/>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66"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协同处置废弃物的种类</w:t>
            </w:r>
          </w:p>
        </w:tc>
        <w:tc>
          <w:tcPr>
            <w:tcW w:w="630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协同处置废弃物的种类和数量。废弃物的种类和数量的数据除来自企业生产月报表外，可通过废弃物进厂数据记录、电表数据记录、不同部分的耗电量记录、能源消耗台账等相关记录交叉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86"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协同处置废弃物的数量</w:t>
            </w:r>
          </w:p>
        </w:tc>
        <w:tc>
          <w:tcPr>
            <w:tcW w:w="630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协同处置废弃物的种类和数量。废弃物的种类和数量的数据除来自企业生产月报表外，可通过废弃物进厂数据记录、电表数据记录、不同部分的耗电量记录、能源消耗台账等相关记录交叉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6"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废弃物预处理部分的耗电量</w:t>
            </w:r>
          </w:p>
        </w:tc>
        <w:tc>
          <w:tcPr>
            <w:tcW w:w="630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核查组应确认受核查方废弃物预处理部分的耗电量的数据来源是否与监测计划一致，并通过生产月报表、电表数据记录、不同部分的耗电量记录、能源消耗台账等相关记录交叉核对。</w:t>
            </w:r>
          </w:p>
        </w:tc>
      </w:tr>
    </w:tbl>
    <w:p>
      <w:pPr>
        <w:spacing w:after="0" w:line="560" w:lineRule="exact"/>
        <w:jc w:val="center"/>
        <w:rPr>
          <w:rFonts w:ascii="仿宋_GB2312" w:hAnsi="仿宋" w:eastAsia="仿宋_GB2312"/>
          <w:b/>
          <w:sz w:val="32"/>
          <w:szCs w:val="32"/>
          <w:lang w:val="en-US"/>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石油化工企业补充</w:t>
      </w:r>
      <w:r>
        <w:rPr>
          <w:rFonts w:ascii="仿宋_GB2312" w:hAnsi="仿宋" w:eastAsia="仿宋_GB2312"/>
          <w:b/>
          <w:sz w:val="32"/>
          <w:szCs w:val="32"/>
          <w:lang w:val="en-US"/>
        </w:rPr>
        <w:t>数据表</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4" w:hRule="atLeast"/>
          <w:tblHeader/>
        </w:trPr>
        <w:tc>
          <w:tcPr>
            <w:tcW w:w="2689" w:type="dxa"/>
            <w:vAlign w:val="top"/>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22" w:type="dxa"/>
            <w:vAlign w:val="top"/>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5"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产品类别</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核查组应确定受核查方的主营产品类别，除原油及原料油加工、乙烯应单独报告外，企业生产的其他化工产品类别也应识别并报告。</w:t>
            </w:r>
          </w:p>
          <w:p>
            <w:pPr>
              <w:spacing w:after="0" w:line="300" w:lineRule="auto"/>
              <w:ind w:firstLine="480" w:firstLineChars="200"/>
              <w:jc w:val="both"/>
              <w:rPr>
                <w:rFonts w:ascii="仿宋_GB2312" w:eastAsia="仿宋_GB2312"/>
              </w:rPr>
            </w:pPr>
            <w:r>
              <w:rPr>
                <w:rFonts w:hint="eastAsia" w:ascii="仿宋_GB2312" w:hAnsi="楷体" w:eastAsia="仿宋_GB2312"/>
                <w:sz w:val="24"/>
                <w:szCs w:val="24"/>
              </w:rPr>
              <w:t>受核查方以生产车间和/或工序为单位确定主营产品类别。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8"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产品产量</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核查组应确认受核查方产品产量的数据来自企业产量报表外，还应与上报统计局的产量产值相关数据核对。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8"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每类产品生产的直接排放-化石燃料燃烧排放量</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核查组应确认受核查方对每类产品生产过程化石燃料消耗量的数据来源是否与监测计划一致，并通过能源平衡表、生产月报表等相关记录交叉核对。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对于天然气等可单独计量的数据，还应将报告的数据与天然气抄表记录、财务数据等数据交叉核对。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如受核查方使用化石燃料排放因子的缺省值，核查组应确认缺省值的数据、单位正确，如使用实测值，排放因子的核查应参考核查报告编写指南第3.3.2.2部分的要求。</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当两类或两类以上的主营产品车间/工序的化石燃料消耗量数据不能分开核算时，可以合并填写，核查组应在核查报告中说明。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9"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每类产品生产的直接排放-过程排放量</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首先应分别识别每类产品生产是否存在过程排放，例如原油加工核算催化剂烧焦、制氢过程产生的二氧化碳排放量，乙烯生产核算乙烯裂解过程产生的二氧化碳排放量，其他化工产品生产仅核算环氧乙烷、醋酸乙烯生产过程产生的二氧化碳排放量。</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核查组确认每类产品过程排放核算方法是否与</w:t>
            </w:r>
            <w:r>
              <w:rPr>
                <w:rFonts w:ascii="仿宋_GB2312" w:hAnsi="楷体" w:eastAsia="仿宋_GB2312"/>
                <w:sz w:val="24"/>
                <w:szCs w:val="24"/>
              </w:rPr>
              <w:t>地方标准或适用的核算和报告指南</w:t>
            </w:r>
            <w:r>
              <w:rPr>
                <w:rFonts w:hint="eastAsia" w:ascii="仿宋_GB2312" w:hAnsi="楷体" w:eastAsia="仿宋_GB2312"/>
                <w:sz w:val="24"/>
                <w:szCs w:val="24"/>
              </w:rPr>
              <w:t>一致，各项参数数据来源是否与监测计划一致。对于直接监测计量的数据，将报告的数据与抄表记录等数据交叉核对；对于实验室监测汇总的数据，应确认监测方法符合相关标准，数据汇总方式合理，计算中用到的各参数，均应确保其来源可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8"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每类产品生产的间接排放量</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对于各产品车间/工序单独计量的电量，应确认监测设备的校准、数据记录等活动是否符合监测计划的要求，并核对抄表记录、各车间能源消耗台账。</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如各成品车间/工序消耗对应的外购电力数据是通过拆分全厂总外购电量计算得出，核查组应确认拆分的方式是否合理，并保持各年度数据的可比性。</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对于存在自发电的情况，核查组应根据企业实际情况确认其外购电与自发电分配的合理性，并保持各年度数据处理的一致性和可比性。</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当两类或两类以上的主营产品车间/工序生产消耗的外购电量数据不能分开核算时，可以合并填写，核查组应在核查报告中做原因说明。</w:t>
            </w:r>
          </w:p>
        </w:tc>
      </w:tr>
    </w:tbl>
    <w:p>
      <w:pPr>
        <w:spacing w:after="0" w:line="560" w:lineRule="exact"/>
        <w:ind w:firstLine="640" w:firstLineChars="200"/>
        <w:jc w:val="center"/>
        <w:rPr>
          <w:rFonts w:ascii="仿宋_GB2312" w:hAnsi="仿宋" w:eastAsia="仿宋_GB2312"/>
          <w:sz w:val="32"/>
          <w:szCs w:val="32"/>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物业管理类企业补充</w:t>
      </w:r>
      <w:r>
        <w:rPr>
          <w:rFonts w:ascii="仿宋_GB2312" w:hAnsi="仿宋" w:eastAsia="仿宋_GB2312"/>
          <w:b/>
          <w:sz w:val="32"/>
          <w:szCs w:val="32"/>
          <w:lang w:val="en-US"/>
        </w:rPr>
        <w:t>数据表</w:t>
      </w:r>
    </w:p>
    <w:tbl>
      <w:tblPr>
        <w:tblStyle w:val="3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59"/>
        <w:gridCol w:w="62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1523" w:type="pct"/>
            <w:vAlign w:val="top"/>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3476" w:type="pct"/>
            <w:vAlign w:val="top"/>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3" w:type="pct"/>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建筑面积</w:t>
            </w:r>
            <w:r>
              <w:rPr>
                <w:rFonts w:ascii="仿宋_GB2312" w:hAnsi="楷体" w:eastAsia="仿宋_GB2312"/>
                <w:sz w:val="24"/>
                <w:szCs w:val="24"/>
                <w:lang w:val="en-US"/>
              </w:rPr>
              <w:t>/实际物业管理面积</w:t>
            </w:r>
          </w:p>
        </w:tc>
        <w:tc>
          <w:tcPr>
            <w:tcW w:w="3476" w:type="pct"/>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通过查阅设计图纸、政府批复文件、竣工报告、房产证、能源审计报告、项目总平面图等资料并现场访问确定建筑面积。不同业态的建筑面积如果是估算获得，核查组需要求受核查方说明估算方法并提供相关资料依据，核查组应评估其合理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3" w:type="pct"/>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地下车库面积</w:t>
            </w:r>
          </w:p>
        </w:tc>
        <w:tc>
          <w:tcPr>
            <w:tcW w:w="3476" w:type="pct"/>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通过查阅设计图纸、政府批复文件、竣工报告、房产证、能源审计报告等资料并现场访问确定地下车库面积。不同业态的地下车库面积如果是估算获得，核查组需要求受核查方说明估算方法并提供相关资料依据，核查组应评估其合理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3" w:type="pct"/>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产值</w:t>
            </w:r>
            <w:r>
              <w:rPr>
                <w:rFonts w:ascii="仿宋_GB2312" w:hAnsi="楷体" w:eastAsia="仿宋_GB2312"/>
                <w:sz w:val="24"/>
                <w:szCs w:val="24"/>
              </w:rPr>
              <w:t>/物业收入等财务数据</w:t>
            </w:r>
          </w:p>
        </w:tc>
        <w:tc>
          <w:tcPr>
            <w:tcW w:w="3476" w:type="pct"/>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核查组应通过查阅资产负债表、利润分配表等财务报表获得各财务数据。核查组应查阅月度财务报表，确认年度数据的正确性。核查组应交叉核对上报统计部门的相关数据，如有差异，需解释说明差异原因。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3" w:type="pct"/>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入住率</w:t>
            </w:r>
            <w:r>
              <w:rPr>
                <w:rFonts w:ascii="仿宋_GB2312" w:hAnsi="楷体" w:eastAsia="仿宋_GB2312"/>
                <w:sz w:val="24"/>
                <w:szCs w:val="24"/>
              </w:rPr>
              <w:t>/入驻率/入园率</w:t>
            </w:r>
          </w:p>
        </w:tc>
        <w:tc>
          <w:tcPr>
            <w:tcW w:w="3476" w:type="pct"/>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核查组应通过现场访问、查阅相关年报等方式获得该项数据。核查组应通过查阅入住登记表、租赁合同、物业费收缴明细、电费清单等方式，确认受核查方统计数据的正确性。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3" w:type="pct"/>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基准年内项目实际运营天数</w:t>
            </w:r>
          </w:p>
        </w:tc>
        <w:tc>
          <w:tcPr>
            <w:tcW w:w="3476" w:type="pct"/>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核查组应通过现场访问、查阅相关工作运行记录等方式获取该项数据。核查组应查阅电费清单，能源统计台账，统计局报表等方式，确认受核查方基准年内项目实际运营的天数。</w:t>
            </w:r>
          </w:p>
        </w:tc>
      </w:tr>
    </w:tbl>
    <w:p>
      <w:pPr>
        <w:spacing w:after="0" w:line="560" w:lineRule="exact"/>
        <w:ind w:firstLine="640" w:firstLineChars="200"/>
        <w:jc w:val="center"/>
        <w:rPr>
          <w:rFonts w:ascii="仿宋_GB2312" w:hAnsi="仿宋" w:eastAsia="仿宋_GB2312"/>
          <w:sz w:val="32"/>
          <w:szCs w:val="32"/>
          <w:lang w:val="en-US"/>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数据中心企业补充数据表</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689" w:type="dxa"/>
            <w:vAlign w:val="top"/>
          </w:tcPr>
          <w:p>
            <w:pPr>
              <w:spacing w:after="0" w:line="300" w:lineRule="auto"/>
              <w:ind w:firstLine="419"/>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51" w:type="dxa"/>
            <w:vAlign w:val="top"/>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数据中心行业子类</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核查组应根据受核查方基本情况介绍判断其数据中心所属子类，明确受核查方数据中心与非数据中心设施划分方法。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8"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数据中心标准机架数量</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确认不同类型数据中心标准机架数量的数据来源是否与监测计划一致，核对相关证明材料。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86"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数据中心总用电量</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确认不同类型数据中心总用电量</w:t>
            </w:r>
            <w:r>
              <w:rPr>
                <w:rFonts w:ascii="仿宋_GB2312" w:hAnsi="楷体" w:eastAsia="仿宋_GB2312"/>
                <w:sz w:val="24"/>
                <w:szCs w:val="24"/>
              </w:rPr>
              <w:t>的数据来源是否与监测计划一致，如为实测计量数据，还应将报告的数据与电能表抄表记录等数据交叉核对；如为计算数据，应确认计算方法的合理性，并保持各年度数据的可比性。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6"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数据中心总用电量</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确认不同类型数据中心总用电量的数据来源是否与监测计划一致，如为实测计量数据，还应将报告的数据与电能表抄表记录等数据交叉核对；如为计算数据，应确认计算方法的合理性，并保持各年度数据的可比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ascii="仿宋_GB2312" w:hAnsi="楷体" w:eastAsia="仿宋_GB2312"/>
                <w:sz w:val="24"/>
                <w:szCs w:val="24"/>
              </w:rPr>
              <w:t>IT设备用电量</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确认不同类型数据中心</w:t>
            </w:r>
            <w:r>
              <w:rPr>
                <w:rFonts w:ascii="仿宋_GB2312" w:hAnsi="楷体" w:eastAsia="仿宋_GB2312"/>
                <w:sz w:val="24"/>
                <w:szCs w:val="24"/>
              </w:rPr>
              <w:t>IT设备用电量的数据来源是否与监测计划一致，如为实测计量数据，还应将报告的数据与电能表抄表记录等数据交叉核对；如为计算数据，应确认计算方法的合理性，并保持各年度数据的可比性。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非数据中心设施建筑面积</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确认非数据中心设施建筑面积的数据来源是否与监测计划一致，应将报告的数据与设施竣工验收等资料交叉核对。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不同子类（大型数据中心、中小型数据中心、该行业中非数据中心设施）的直接排放量</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核查组应确认受核查方化石燃料消耗量的数据来源是否与监测计划一致，并通过能源平衡表、生产月报表等相关记录交叉核对。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对于柴油等可单独计量的能源，还应将报告的数据与库存数据、财务数据等交叉核对。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如重点排放单位使用化石燃料排放因子的缺省值，核查组应确认缺省值的数据、单位正确，如使用实测值，排放因子的核查应参考核查报告编写指南第</w:t>
            </w:r>
            <w:r>
              <w:rPr>
                <w:rFonts w:ascii="仿宋_GB2312" w:hAnsi="楷体" w:eastAsia="仿宋_GB2312"/>
                <w:sz w:val="24"/>
                <w:szCs w:val="24"/>
              </w:rPr>
              <w:t>3.3.2.2部分的要求。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不同子类（大型数据中心、中小型数据中心、该行业中非数据中心设施）的间接排放量</w:t>
            </w:r>
          </w:p>
        </w:tc>
        <w:tc>
          <w:tcPr>
            <w:tcW w:w="635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对于不同类型数据中心、非数据中心固定设施的用电量，应确认监测设备的校准、数据记录等活动是否符合监测计划的要求，并核对抄表记录、能源消耗台账。</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如数据中心对应的外购电力数据是通过拆分总外购电量计算得出，核查组应确认拆分的方式是否合理，并保持各年度数据的可比性。</w:t>
            </w:r>
          </w:p>
        </w:tc>
      </w:tr>
    </w:tbl>
    <w:p>
      <w:pPr>
        <w:spacing w:after="0" w:line="560" w:lineRule="exact"/>
        <w:ind w:firstLine="640" w:firstLineChars="200"/>
        <w:jc w:val="center"/>
        <w:rPr>
          <w:rFonts w:ascii="仿宋_GB2312" w:hAnsi="仿宋" w:eastAsia="仿宋_GB2312"/>
          <w:sz w:val="32"/>
          <w:szCs w:val="32"/>
          <w:lang w:val="en-US"/>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通信企业补充数据表</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6" w:hRule="atLeast"/>
          <w:tblHeader/>
        </w:trPr>
        <w:tc>
          <w:tcPr>
            <w:tcW w:w="2689" w:type="dxa"/>
            <w:vAlign w:val="top"/>
          </w:tcPr>
          <w:p>
            <w:pPr>
              <w:keepNext w:val="0"/>
              <w:keepLines w:val="0"/>
              <w:pageBreakBefore w:val="0"/>
              <w:widowControl/>
              <w:kinsoku/>
              <w:wordWrap/>
              <w:overflowPunct/>
              <w:topLinePunct w:val="0"/>
              <w:autoSpaceDE/>
              <w:autoSpaceDN/>
              <w:bidi w:val="0"/>
              <w:adjustRightInd/>
              <w:snapToGrid/>
              <w:spacing w:after="0" w:line="240" w:lineRule="auto"/>
              <w:ind w:firstLine="419"/>
              <w:jc w:val="center"/>
              <w:textAlignment w:val="auto"/>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22" w:type="dxa"/>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电信业务量</w:t>
            </w:r>
          </w:p>
        </w:tc>
        <w:tc>
          <w:tcPr>
            <w:tcW w:w="632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核查组首先应确定受核查方的业务类型（移动业务、移动语音业务、移动数据与互联网业务、移动增值及其他业务、固网业务、数据中心、非数据中心），各业务类型电信业务量的数据来源是否与监测计划一致。</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电信业务量的数据除来自企业报表外，还应与上报统计局的“邮电业主要指标”相关数据核对。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数据中心标准机架数量</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若涉及数据中心，则需核查以下内容：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确认不同类型数据中心标准机架数量的数据来源是否与监测计划一致，核对相关证明材料。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5"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数据中心总用电量</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若涉及数据中心，则需核查以下内容：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确认不同类型数据中心总用电量的数据来源是否与监测计划一致，如为实测计量数据，还应将报告的数据与电能表抄表记录等数据交叉核对；如为计算数据，应确认计算方法的合理性，并保持各年度数据的可比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3"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ascii="仿宋_GB2312" w:hAnsi="楷体" w:eastAsia="仿宋_GB2312"/>
                <w:sz w:val="24"/>
                <w:szCs w:val="24"/>
              </w:rPr>
              <w:t>IT设备用电量</w:t>
            </w:r>
          </w:p>
        </w:tc>
        <w:tc>
          <w:tcPr>
            <w:tcW w:w="6322"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若涉及数据中心，则需核查以下内容：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核查组应根据受核查方基本情况介绍判断其数据中心所属子类，明确受核查方数据中心与非数据中心设施划分方法。确认不同类型数据中心</w:t>
            </w:r>
            <w:r>
              <w:rPr>
                <w:rFonts w:ascii="仿宋_GB2312" w:hAnsi="楷体" w:eastAsia="仿宋_GB2312"/>
                <w:sz w:val="24"/>
                <w:szCs w:val="24"/>
              </w:rPr>
              <w:t>IT设备用电量的数据来源是否与监测计划一致，如为实测计量数据，还应将报告的数据与电能表抄表记录等数据交叉核对；如为计算数据，应确认计算方法的合理性，并保持各年度数据的可比性。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每种业务类型的直接排放量（移动业务、固网业务、数据中心、非数据中心）</w:t>
            </w:r>
          </w:p>
        </w:tc>
        <w:tc>
          <w:tcPr>
            <w:tcW w:w="632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核查组应确认受核查方化石燃料消耗量的数据来源是否与监测计划一致，并通过能源平衡表、生产月报表等相关记录交叉核对。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对于天然气等可单独计量的数据，还应将报告的数据与天然气抄表记录、财务数据等数据交叉核对。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如重点排放单位使用化石燃料排放因子的缺省值，核查组应确认缺省值的数据、单位正确，如使用实测值，排放因子的核查应参考核查报告编写指南第</w:t>
            </w:r>
            <w:r>
              <w:rPr>
                <w:rFonts w:ascii="仿宋_GB2312" w:hAnsi="楷体" w:eastAsia="仿宋_GB2312"/>
                <w:sz w:val="24"/>
                <w:szCs w:val="24"/>
              </w:rPr>
              <w:t>3.3.2.2部分的要求。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94"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每种业务类型的间接排放量（移动业务、固网业务、数据中心、非数据中心）</w:t>
            </w:r>
          </w:p>
        </w:tc>
        <w:tc>
          <w:tcPr>
            <w:tcW w:w="632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对于各业务类型单独计量的电量，应确认监测设备的校准、数据记录等活动是否符合监测计划的要求，并核对抄表记录、各车间能源消耗台账。</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如各业务类型对应的外购电力数据是通过拆分总外购电量计算得出，核查组应确认拆分的方式是否合理，并保持各年度数据的可比性。</w:t>
            </w:r>
          </w:p>
        </w:tc>
      </w:tr>
    </w:tbl>
    <w:p>
      <w:pPr>
        <w:spacing w:after="0" w:line="560" w:lineRule="exact"/>
        <w:ind w:firstLine="640" w:firstLineChars="200"/>
        <w:jc w:val="center"/>
        <w:rPr>
          <w:rFonts w:ascii="仿宋_GB2312" w:hAnsi="仿宋" w:eastAsia="仿宋_GB2312"/>
          <w:sz w:val="32"/>
          <w:szCs w:val="32"/>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电网企业补充数据表</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tcPr>
          <w:p>
            <w:pPr>
              <w:spacing w:after="0" w:line="300" w:lineRule="auto"/>
              <w:ind w:firstLine="419"/>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42" w:type="dxa"/>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trPr>
        <w:tc>
          <w:tcPr>
            <w:tcW w:w="2689" w:type="dxa"/>
            <w:vAlign w:val="center"/>
          </w:tcPr>
          <w:p>
            <w:pPr>
              <w:spacing w:after="0" w:line="300" w:lineRule="auto"/>
              <w:ind w:firstLine="480" w:firstLineChars="200"/>
              <w:rPr>
                <w:rFonts w:ascii="仿宋_GB2312" w:hAnsi="楷体" w:eastAsia="仿宋_GB2312"/>
                <w:sz w:val="24"/>
                <w:szCs w:val="24"/>
              </w:rPr>
            </w:pPr>
            <w:r>
              <w:rPr>
                <w:rFonts w:hint="eastAsia" w:ascii="仿宋_GB2312" w:hAnsi="楷体" w:eastAsia="仿宋_GB2312"/>
                <w:sz w:val="24"/>
                <w:szCs w:val="24"/>
                <w:lang w:val="en-US"/>
              </w:rPr>
              <w:t>供电量</w:t>
            </w:r>
          </w:p>
        </w:tc>
        <w:tc>
          <w:tcPr>
            <w:tcW w:w="6342" w:type="dxa"/>
          </w:tcPr>
          <w:p>
            <w:pPr>
              <w:spacing w:after="0" w:line="300" w:lineRule="auto"/>
              <w:ind w:firstLine="480" w:firstLineChars="200"/>
              <w:rPr>
                <w:rFonts w:ascii="仿宋_GB2312" w:hAnsi="楷体" w:eastAsia="仿宋_GB2312"/>
                <w:sz w:val="24"/>
                <w:szCs w:val="24"/>
              </w:rPr>
            </w:pPr>
            <w:r>
              <w:rPr>
                <w:rFonts w:hint="eastAsia" w:ascii="仿宋_GB2312" w:hAnsi="楷体" w:eastAsia="仿宋_GB2312"/>
                <w:sz w:val="24"/>
                <w:szCs w:val="24"/>
                <w:lang w:val="en-US"/>
              </w:rPr>
              <w:t>供电量数据除来自企业统计</w:t>
            </w:r>
            <w:r>
              <w:rPr>
                <w:rFonts w:hint="eastAsia" w:ascii="仿宋_GB2312" w:hAnsi="楷体" w:eastAsia="仿宋_GB2312"/>
                <w:sz w:val="24"/>
                <w:szCs w:val="24"/>
              </w:rPr>
              <w:t>报表外，还应与上报统计局的相关数据核对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rPr>
                <w:rFonts w:ascii="仿宋_GB2312" w:hAnsi="楷体" w:eastAsia="仿宋_GB2312"/>
                <w:sz w:val="24"/>
                <w:szCs w:val="24"/>
              </w:rPr>
            </w:pPr>
            <w:r>
              <w:rPr>
                <w:rFonts w:hint="eastAsia" w:ascii="仿宋_GB2312" w:hAnsi="楷体" w:eastAsia="仿宋_GB2312"/>
                <w:sz w:val="24"/>
                <w:szCs w:val="24"/>
                <w:lang w:val="en-US"/>
              </w:rPr>
              <w:t>售电量</w:t>
            </w:r>
          </w:p>
        </w:tc>
        <w:tc>
          <w:tcPr>
            <w:tcW w:w="6342" w:type="dxa"/>
          </w:tcPr>
          <w:p>
            <w:pPr>
              <w:spacing w:after="0" w:line="300" w:lineRule="auto"/>
              <w:ind w:firstLine="480" w:firstLineChars="200"/>
              <w:rPr>
                <w:rFonts w:ascii="仿宋_GB2312" w:hAnsi="楷体" w:eastAsia="仿宋_GB2312"/>
                <w:sz w:val="24"/>
                <w:szCs w:val="24"/>
              </w:rPr>
            </w:pPr>
            <w:r>
              <w:rPr>
                <w:rFonts w:hint="eastAsia" w:ascii="仿宋_GB2312" w:hAnsi="楷体" w:eastAsia="仿宋_GB2312"/>
                <w:sz w:val="24"/>
                <w:szCs w:val="24"/>
                <w:lang w:val="en-US"/>
              </w:rPr>
              <w:t>售电量</w:t>
            </w:r>
            <w:r>
              <w:rPr>
                <w:rFonts w:hint="eastAsia" w:ascii="仿宋_GB2312" w:hAnsi="楷体" w:eastAsia="仿宋_GB2312"/>
                <w:sz w:val="24"/>
                <w:szCs w:val="24"/>
              </w:rPr>
              <w:t>数据除来自企业</w:t>
            </w:r>
            <w:r>
              <w:rPr>
                <w:rFonts w:hint="eastAsia" w:ascii="仿宋_GB2312" w:hAnsi="楷体" w:eastAsia="仿宋_GB2312"/>
                <w:sz w:val="24"/>
                <w:szCs w:val="24"/>
                <w:lang w:val="en-US"/>
              </w:rPr>
              <w:t>统计</w:t>
            </w:r>
            <w:r>
              <w:rPr>
                <w:rFonts w:hint="eastAsia" w:ascii="仿宋_GB2312" w:hAnsi="楷体" w:eastAsia="仿宋_GB2312"/>
                <w:sz w:val="24"/>
                <w:szCs w:val="24"/>
              </w:rPr>
              <w:t>报表外，还应</w:t>
            </w:r>
            <w:r>
              <w:rPr>
                <w:rFonts w:hint="eastAsia" w:ascii="仿宋_GB2312" w:hAnsi="楷体" w:eastAsia="仿宋_GB2312"/>
                <w:sz w:val="24"/>
                <w:szCs w:val="24"/>
                <w:lang w:val="en-US"/>
              </w:rPr>
              <w:t>与根据外省输入电量数据、上网电量数据、外省输出电量数据计算出的售电量数据进行交叉核对；</w:t>
            </w:r>
            <w:r>
              <w:rPr>
                <w:rFonts w:hint="eastAsia" w:ascii="仿宋_GB2312" w:hAnsi="楷体" w:eastAsia="仿宋_GB2312"/>
                <w:sz w:val="24"/>
                <w:szCs w:val="24"/>
              </w:rPr>
              <w:t>与上报统计局相关数据核对</w:t>
            </w:r>
            <w:r>
              <w:rPr>
                <w:rFonts w:hint="eastAsia" w:ascii="仿宋_GB2312" w:hAnsi="楷体" w:eastAsia="仿宋_GB2312"/>
                <w:sz w:val="24"/>
                <w:szCs w:val="24"/>
                <w:lang w:val="en-US"/>
              </w:rPr>
              <w:t>。</w:t>
            </w:r>
          </w:p>
        </w:tc>
      </w:tr>
    </w:tbl>
    <w:p>
      <w:pPr>
        <w:spacing w:after="0" w:line="560" w:lineRule="exact"/>
        <w:ind w:firstLine="643" w:firstLineChars="200"/>
        <w:jc w:val="center"/>
        <w:rPr>
          <w:rFonts w:ascii="仿宋_GB2312" w:hAnsi="仿宋" w:eastAsia="仿宋_GB2312"/>
          <w:sz w:val="32"/>
          <w:szCs w:val="32"/>
        </w:rPr>
      </w:pPr>
      <w:r>
        <w:rPr>
          <w:rFonts w:hint="eastAsia" w:ascii="仿宋_GB2312" w:hAnsi="仿宋" w:eastAsia="仿宋_GB2312"/>
          <w:b/>
          <w:sz w:val="32"/>
          <w:szCs w:val="32"/>
          <w:lang w:val="en-US"/>
        </w:rPr>
        <w:t>汽车制造企业补充数据表</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tblHeader/>
        </w:trPr>
        <w:tc>
          <w:tcPr>
            <w:tcW w:w="2689" w:type="dxa"/>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62" w:type="dxa"/>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产品种类</w:t>
            </w:r>
          </w:p>
        </w:tc>
        <w:tc>
          <w:tcPr>
            <w:tcW w:w="636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核查组首先应确定受核查方的产品种类，确认受核查方对汽车的分类是否符合相关标准的要求。</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整车的产品种类分为：</w:t>
            </w:r>
          </w:p>
          <w:p>
            <w:pPr>
              <w:pStyle w:val="50"/>
              <w:widowControl w:val="0"/>
              <w:numPr>
                <w:ilvl w:val="0"/>
                <w:numId w:val="18"/>
              </w:numPr>
              <w:spacing w:after="0" w:line="300" w:lineRule="auto"/>
              <w:contextualSpacing w:val="0"/>
              <w:jc w:val="both"/>
              <w:rPr>
                <w:rFonts w:ascii="仿宋_GB2312" w:hAnsi="楷体" w:eastAsia="仿宋_GB2312"/>
                <w:sz w:val="24"/>
                <w:szCs w:val="24"/>
              </w:rPr>
            </w:pPr>
            <w:r>
              <w:rPr>
                <w:rFonts w:hint="eastAsia" w:ascii="仿宋_GB2312" w:hAnsi="楷体" w:eastAsia="仿宋_GB2312"/>
                <w:sz w:val="24"/>
                <w:szCs w:val="24"/>
              </w:rPr>
              <w:t>普通轿车及普通运动型乘用车；</w:t>
            </w:r>
          </w:p>
          <w:p>
            <w:pPr>
              <w:pStyle w:val="50"/>
              <w:widowControl w:val="0"/>
              <w:numPr>
                <w:ilvl w:val="0"/>
                <w:numId w:val="18"/>
              </w:numPr>
              <w:spacing w:after="0" w:line="300" w:lineRule="auto"/>
              <w:contextualSpacing w:val="0"/>
              <w:jc w:val="both"/>
              <w:rPr>
                <w:rFonts w:ascii="仿宋_GB2312" w:hAnsi="楷体" w:eastAsia="仿宋_GB2312"/>
                <w:sz w:val="24"/>
                <w:szCs w:val="24"/>
              </w:rPr>
            </w:pPr>
            <w:r>
              <w:rPr>
                <w:rFonts w:hint="eastAsia" w:ascii="仿宋_GB2312" w:hAnsi="楷体" w:eastAsia="仿宋_GB2312"/>
                <w:sz w:val="24"/>
                <w:szCs w:val="24"/>
              </w:rPr>
              <w:t>高级轿车及高级运动型乘用车；</w:t>
            </w:r>
          </w:p>
          <w:p>
            <w:pPr>
              <w:pStyle w:val="50"/>
              <w:widowControl w:val="0"/>
              <w:numPr>
                <w:ilvl w:val="0"/>
                <w:numId w:val="18"/>
              </w:numPr>
              <w:spacing w:after="0" w:line="300" w:lineRule="auto"/>
              <w:contextualSpacing w:val="0"/>
              <w:jc w:val="both"/>
              <w:rPr>
                <w:rFonts w:ascii="仿宋_GB2312" w:hAnsi="楷体" w:eastAsia="仿宋_GB2312"/>
                <w:sz w:val="24"/>
                <w:szCs w:val="24"/>
              </w:rPr>
            </w:pPr>
            <w:r>
              <w:rPr>
                <w:rFonts w:hint="eastAsia" w:ascii="仿宋_GB2312" w:hAnsi="楷体" w:eastAsia="仿宋_GB2312"/>
                <w:sz w:val="24"/>
                <w:szCs w:val="24"/>
              </w:rPr>
              <w:t>中、重型载货汽车；</w:t>
            </w:r>
          </w:p>
          <w:p>
            <w:pPr>
              <w:pStyle w:val="50"/>
              <w:widowControl w:val="0"/>
              <w:numPr>
                <w:ilvl w:val="0"/>
                <w:numId w:val="18"/>
              </w:numPr>
              <w:spacing w:after="0" w:line="300" w:lineRule="auto"/>
              <w:contextualSpacing w:val="0"/>
              <w:jc w:val="both"/>
              <w:rPr>
                <w:rFonts w:ascii="仿宋_GB2312" w:hAnsi="楷体" w:eastAsia="仿宋_GB2312"/>
                <w:sz w:val="24"/>
                <w:szCs w:val="24"/>
              </w:rPr>
            </w:pPr>
            <w:r>
              <w:rPr>
                <w:rFonts w:hint="eastAsia" w:ascii="仿宋_GB2312" w:hAnsi="楷体" w:eastAsia="仿宋_GB2312"/>
                <w:sz w:val="24"/>
                <w:szCs w:val="24"/>
              </w:rPr>
              <w:t>纯电动汽车</w:t>
            </w:r>
          </w:p>
          <w:p>
            <w:pPr>
              <w:spacing w:after="0" w:line="300" w:lineRule="auto"/>
              <w:ind w:left="480"/>
              <w:jc w:val="both"/>
              <w:rPr>
                <w:rFonts w:ascii="仿宋_GB2312" w:hAnsi="楷体" w:eastAsia="仿宋_GB2312"/>
                <w:sz w:val="24"/>
                <w:szCs w:val="24"/>
              </w:rPr>
            </w:pPr>
            <w:r>
              <w:rPr>
                <w:rFonts w:hint="eastAsia" w:ascii="仿宋_GB2312" w:hAnsi="楷体" w:eastAsia="仿宋_GB2312"/>
                <w:sz w:val="24"/>
                <w:szCs w:val="24"/>
              </w:rPr>
              <w:t>汽车发动机的产品种类分为：</w:t>
            </w:r>
          </w:p>
          <w:p>
            <w:pPr>
              <w:pStyle w:val="50"/>
              <w:widowControl w:val="0"/>
              <w:numPr>
                <w:ilvl w:val="0"/>
                <w:numId w:val="18"/>
              </w:numPr>
              <w:spacing w:after="0" w:line="300" w:lineRule="auto"/>
              <w:contextualSpacing w:val="0"/>
              <w:jc w:val="both"/>
              <w:rPr>
                <w:rFonts w:ascii="仿宋_GB2312" w:hAnsi="楷体" w:eastAsia="仿宋_GB2312"/>
                <w:sz w:val="24"/>
                <w:szCs w:val="24"/>
              </w:rPr>
            </w:pPr>
            <w:r>
              <w:rPr>
                <w:rFonts w:hint="eastAsia" w:ascii="仿宋_GB2312" w:hAnsi="楷体" w:eastAsia="仿宋_GB2312"/>
                <w:sz w:val="24"/>
                <w:szCs w:val="24"/>
              </w:rPr>
              <w:t>汽油发动机</w:t>
            </w:r>
          </w:p>
          <w:p>
            <w:pPr>
              <w:pStyle w:val="50"/>
              <w:widowControl w:val="0"/>
              <w:numPr>
                <w:ilvl w:val="0"/>
                <w:numId w:val="18"/>
              </w:numPr>
              <w:spacing w:after="0" w:line="300" w:lineRule="auto"/>
              <w:contextualSpacing w:val="0"/>
              <w:jc w:val="both"/>
              <w:rPr>
                <w:rFonts w:ascii="仿宋_GB2312" w:eastAsia="仿宋_GB2312"/>
              </w:rPr>
            </w:pPr>
            <w:r>
              <w:rPr>
                <w:rFonts w:hint="eastAsia" w:ascii="仿宋_GB2312" w:hAnsi="楷体" w:eastAsia="仿宋_GB2312"/>
                <w:sz w:val="24"/>
                <w:szCs w:val="24"/>
              </w:rPr>
              <w:t>柴油发动机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产品产量</w:t>
            </w:r>
          </w:p>
        </w:tc>
        <w:tc>
          <w:tcPr>
            <w:tcW w:w="636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汽车产量的数据除来自企业产量报表外，还应与上报统计局的产量产值相关数据核对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每类产品的直接排放量</w:t>
            </w:r>
          </w:p>
        </w:tc>
        <w:tc>
          <w:tcPr>
            <w:tcW w:w="636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核查组应确认受核查方对化石燃料消耗量的数据来源是否与监测计划一致，并通过能源平衡表、生产月报表等相关记录交叉核对。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对于天然气等可单独计量的数据，还应将报告的数据与天然气抄表记录、财务数据等数据交叉核对。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如重点排放单位使用化石燃料排放因子的缺省值，核查组应确认缺省值的数据、单位正确，如使用实测值，排放因子的核查应参考核查报告编写指南第3.3.2.2部分的要求。</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对于混线生产的情况，可根据下式估算第i类产品的直接排放量：</w:t>
            </w:r>
          </w:p>
          <w:p>
            <w:pPr>
              <w:spacing w:after="0" w:line="300" w:lineRule="auto"/>
              <w:ind w:firstLine="360" w:firstLineChars="200"/>
              <w:jc w:val="both"/>
              <w:rPr>
                <w:rFonts w:ascii="仿宋_GB2312" w:hAnsi="楷体" w:eastAsia="仿宋_GB2312"/>
                <w:sz w:val="24"/>
                <w:szCs w:val="24"/>
              </w:rPr>
            </w:pPr>
            <w:r>
              <w:rPr>
                <w:rFonts w:hint="eastAsia" w:ascii="仿宋_GB2312" w:hAnsi="Times New Roman" w:eastAsia="仿宋_GB2312"/>
                <w:position w:val="-26"/>
                <w:sz w:val="18"/>
                <w:szCs w:val="18"/>
              </w:rPr>
              <w:object>
                <v:shape id="_x0000_i1025" o:spt="75" type="#_x0000_t75" style="height:27.75pt;width:236.25pt;" o:ole="t" filled="f" o:preferrelative="t" stroked="f" coordsize="21600,21600">
                  <v:path/>
                  <v:fill on="f" focussize="0,0"/>
                  <v:stroke on="f" joinstyle="miter"/>
                  <v:imagedata r:id="rId19" o:title=""/>
                  <o:lock v:ext="edit" aspectratio="t"/>
                  <w10:wrap type="none"/>
                  <w10:anchorlock/>
                </v:shape>
                <o:OLEObject Type="Embed" ProgID="Equation.KSEE3" ShapeID="_x0000_i1025" DrawAspect="Content" ObjectID="_1468075725" r:id="rId18">
                  <o:LockedField>false</o:LockedField>
                </o:OLEObject>
              </w:objec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对于以发动机为主要产品的生产线生产发动机零配件的情况，如核查组确认无法拆分或合理估算生产发动机产生的直接排放量，则该生产线的直接排放量均计为生产发动机产生的直接排放。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每类产品的间接排放量</w:t>
            </w:r>
          </w:p>
        </w:tc>
        <w:tc>
          <w:tcPr>
            <w:tcW w:w="636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对于各生产线单独计量的电量，应确认监测设备的校准、数据记录等活动是否符合监测计划的要求，并核对抄表记录、各车间能源消耗台账。</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如各生产线对应的外购电力数据是通过拆分全厂总外购电量计算得出，核查组应确认拆分的方式是否合理，并保持各年度数据的可比性。</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对于混线生产的情况，可根据下式估算第i类产品的间接排放量：</w:t>
            </w:r>
          </w:p>
          <w:p>
            <w:pPr>
              <w:spacing w:after="0" w:line="300" w:lineRule="auto"/>
              <w:ind w:firstLine="360" w:firstLineChars="200"/>
              <w:jc w:val="both"/>
              <w:rPr>
                <w:rFonts w:ascii="仿宋_GB2312" w:hAnsi="楷体" w:eastAsia="仿宋_GB2312"/>
                <w:sz w:val="24"/>
                <w:szCs w:val="24"/>
              </w:rPr>
            </w:pPr>
            <w:r>
              <w:rPr>
                <w:rFonts w:hint="eastAsia" w:ascii="仿宋_GB2312" w:hAnsi="Times New Roman" w:eastAsia="仿宋_GB2312"/>
                <w:position w:val="-26"/>
                <w:sz w:val="18"/>
                <w:szCs w:val="18"/>
              </w:rPr>
              <w:object>
                <v:shape id="_x0000_i1026" o:spt="75" type="#_x0000_t75" style="height:27.75pt;width:250.5pt;" o:ole="t" filled="f" o:preferrelative="t" stroked="f" coordsize="21600,21600">
                  <v:path/>
                  <v:fill on="f" focussize="0,0"/>
                  <v:stroke on="f" joinstyle="miter"/>
                  <v:imagedata r:id="rId21" o:title=""/>
                  <o:lock v:ext="edit" aspectratio="t"/>
                  <w10:wrap type="none"/>
                  <w10:anchorlock/>
                </v:shape>
                <o:OLEObject Type="Embed" ProgID="Equation.KSEE3" ShapeID="_x0000_i1026" DrawAspect="Content" ObjectID="_1468075726" r:id="rId20">
                  <o:LockedField>false</o:LockedField>
                </o:OLEObject>
              </w:objec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对于以发动机为主要产品的生产线生产发动机零配件的情况，如核查组确认无法拆分或合理估算生产发动机产生的间接排放量，则该生产线的间接排放量均计为生产发动机产生的间接排放。</w:t>
            </w:r>
          </w:p>
        </w:tc>
      </w:tr>
    </w:tbl>
    <w:p>
      <w:pPr>
        <w:spacing w:after="0" w:line="560" w:lineRule="exact"/>
        <w:ind w:firstLine="640" w:firstLineChars="200"/>
        <w:jc w:val="center"/>
        <w:rPr>
          <w:rFonts w:ascii="仿宋_GB2312" w:hAnsi="仿宋" w:eastAsia="仿宋_GB2312"/>
          <w:sz w:val="32"/>
          <w:szCs w:val="32"/>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生物药品制品制造企业补充数据表</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689" w:type="dxa"/>
            <w:vAlign w:val="top"/>
          </w:tcPr>
          <w:p>
            <w:pPr>
              <w:spacing w:after="0" w:line="300" w:lineRule="auto"/>
              <w:ind w:firstLine="419"/>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71" w:type="dxa"/>
            <w:vAlign w:val="top"/>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生物化学药品制造（血液制品等）产量</w:t>
            </w:r>
          </w:p>
        </w:tc>
        <w:tc>
          <w:tcPr>
            <w:tcW w:w="6371"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核查组应确定受核查方的药品产量。药品产量的数据除来自企业产量报表外，还应与上报统计局的产量产值相关数据核对、检验。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生物化学药品制造（血液制品等）产值</w:t>
            </w:r>
          </w:p>
        </w:tc>
        <w:tc>
          <w:tcPr>
            <w:tcW w:w="6371" w:type="dxa"/>
          </w:tcPr>
          <w:p>
            <w:pPr>
              <w:spacing w:after="0" w:line="300" w:lineRule="auto"/>
              <w:jc w:val="both"/>
              <w:rPr>
                <w:rFonts w:ascii="仿宋_GB2312" w:hAnsi="楷体" w:eastAsia="仿宋_GB2312"/>
                <w:sz w:val="24"/>
                <w:szCs w:val="24"/>
              </w:rPr>
            </w:pPr>
            <w:r>
              <w:rPr>
                <w:rFonts w:hint="eastAsia" w:ascii="仿宋_GB2312" w:hAnsi="楷体" w:eastAsia="仿宋_GB2312"/>
                <w:sz w:val="24"/>
                <w:szCs w:val="24"/>
              </w:rPr>
              <w:t>核查组应确定受核查方的药品产值。产值的数据除来自企业财务相关报表外，还应与上报统计局的产值相关数据核对、检验。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生物化学药品制造（血液制品等）的直接排放量</w:t>
            </w:r>
          </w:p>
        </w:tc>
        <w:tc>
          <w:tcPr>
            <w:tcW w:w="6371"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核查组应确认受核查方对化石燃料消耗量的数据来源是否与监测计划一致，并通过能源平衡表、生产月报表等相关记录交叉核对。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对于天然气等可单独计量的数据，还应将报告的数据与天然气抄表记录、财务数据等数据交叉核对。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如重点排放单位使用化石燃料排放因子的缺省值，核查组应确认缺省值的数据、单位正确，如使用实测值，排放因子的核查应参考核查报告编写指南第</w:t>
            </w:r>
            <w:r>
              <w:rPr>
                <w:rFonts w:ascii="仿宋_GB2312" w:hAnsi="楷体" w:eastAsia="仿宋_GB2312"/>
                <w:sz w:val="24"/>
                <w:szCs w:val="24"/>
              </w:rPr>
              <w:t>3.3.2.2部分的要求。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生物化学药品制造（血液制品等）的间接排放量</w:t>
            </w:r>
          </w:p>
        </w:tc>
        <w:tc>
          <w:tcPr>
            <w:tcW w:w="6371"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对于企业生产系统、辅助生产系统单独计量的电量，应确认监测设备的校准、数据记录等活动是否符合监测计划的要求，并核对抄表记录、各系统设施能源消耗台账。</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如各药品对应的外购电力数据是通过拆分总外购电量计算得出，核查组应确认拆分的方式是否合理，并保持各年度数据的可比性。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基因工程药物和疫苗制造产量</w:t>
            </w:r>
          </w:p>
        </w:tc>
        <w:tc>
          <w:tcPr>
            <w:tcW w:w="6371"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核查组应确定受核查方的药品产量。药品产量的数据除来自企业产量报表外，还应与上报统计局的产量产值相关数据核对、检验。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7" w:hRule="atLeast"/>
        </w:trPr>
        <w:tc>
          <w:tcPr>
            <w:tcW w:w="2689"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基因工程药物和疫苗制造产值</w:t>
            </w:r>
          </w:p>
        </w:tc>
        <w:tc>
          <w:tcPr>
            <w:tcW w:w="6371"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核查组应确定受核查方的药品产值。产值的数据除来自企业财务相关报表外，还应与上报统计局的产值相关数据核对、检验。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基因工程药物和疫苗制造的直接排放量</w:t>
            </w:r>
          </w:p>
        </w:tc>
        <w:tc>
          <w:tcPr>
            <w:tcW w:w="6371"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核查组应确认受核查方对化石燃料消耗量的数据来源是否与监测计划一致，并通过能源平衡表、生产月报表等相关记录交叉核对。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对于天然气等可单独计量的数据，还应将报告的数据与天然气抄表记录、财务数据等数据交叉核对。</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如重点排放单位使用化石燃料排放因子的缺省值，核查组应确认缺省值的数据、单位正确，如使用实测值，排放因子的核查应参考核查报告编写指南第</w:t>
            </w:r>
            <w:r>
              <w:rPr>
                <w:rFonts w:ascii="仿宋_GB2312" w:hAnsi="楷体" w:eastAsia="仿宋_GB2312"/>
                <w:sz w:val="24"/>
                <w:szCs w:val="24"/>
              </w:rPr>
              <w:t>3.3.2.2部分的要求。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64"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基因工程药物和疫苗制造的间接排放量</w:t>
            </w:r>
          </w:p>
        </w:tc>
        <w:tc>
          <w:tcPr>
            <w:tcW w:w="637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对于企业生产系统、辅助生产系统单独计量的电量，应确认监测设备的校准、数据记录等活动是否符合监测计划的要求，并核对抄表记录、各系统设施能源消耗台账。</w:t>
            </w:r>
          </w:p>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如各药品对应的外购电力数据是通过拆分总外购电量计算得出，核查组应确认拆分的方式是否合理，并保持各年度数据的可比性。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7"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办公及其他设施的直接排放量</w:t>
            </w:r>
          </w:p>
        </w:tc>
        <w:tc>
          <w:tcPr>
            <w:tcW w:w="637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对于办公及其他设施的不同种类的化石燃料消耗量，应确认数据来源是否与监测计划一致，并核对抄表记录、各车间能源消耗台账。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56"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办公及其他设施的间接排放量</w:t>
            </w:r>
          </w:p>
        </w:tc>
        <w:tc>
          <w:tcPr>
            <w:tcW w:w="637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核查组应确认受核查方办公及其他设施的耗电量的数据来源是否与监测计划一致，并通过生产月报表、电表数据记录、设施的耗电量记录、能源消耗台账等相关记录交叉核对。</w:t>
            </w:r>
          </w:p>
        </w:tc>
      </w:tr>
    </w:tbl>
    <w:p>
      <w:pPr>
        <w:spacing w:after="0" w:line="560" w:lineRule="exact"/>
        <w:ind w:firstLine="640" w:firstLineChars="200"/>
        <w:jc w:val="center"/>
        <w:rPr>
          <w:rFonts w:ascii="仿宋_GB2312" w:hAnsi="仿宋" w:eastAsia="仿宋_GB2312"/>
          <w:sz w:val="32"/>
          <w:szCs w:val="32"/>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污水处理和再生水供应业企业补充数据表</w:t>
      </w:r>
    </w:p>
    <w:tbl>
      <w:tblPr>
        <w:tblStyle w:val="36"/>
        <w:tblW w:w="90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blHeader/>
        </w:trPr>
        <w:tc>
          <w:tcPr>
            <w:tcW w:w="2689" w:type="dxa"/>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91" w:type="dxa"/>
            <w:vAlign w:val="center"/>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7" w:hRule="atLeast"/>
        </w:trPr>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污水处理的数量</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核查组应确定受核查方的污水处理数量。污水处理数量除来自企业产量报表外，还应与上报统计局的产量产值相关数据核对。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再生水的数量</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核查组应确定受核查方的再生水数量。再生水数量的数据除来自企业产量报表外，还应与上报统计局的产量产值相关数据核对。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污水处理和再生水设施的间接排放量</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污水处理和再生水设施的耗电量的数据来源是否与监测计划一致，并通过生产月报表、电表数据记录、车间的耗电量记录、能源消耗台账等相关记录交叉核对。企业的污水处理和再生水设施的间接排放量包括企业办公及其他设施的排放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污水处理和再生水设施的直接排放量</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污水处理和再生水设施的不同种类的化石燃料消耗量，应确认数据来源是否与监测计划一致，并核对抄表记录、各车间能源消耗台账。企业的污水处理和再生水设施的直接排放量包括企业办公及其他设施的排放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污水处理和再生水设施采用的生产工艺</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说明污水处理和再生水设施采用的生产工艺。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污泥深度处理的数量</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核查组应确定受核查方的污泥处理数量。污泥处理数量的数据除来自企业生产记录外，还应与企业报表的相关数据核对。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污泥深度处理设施的间接排放量</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核查组应确认受核查方污泥处理设施的耗电量的数据来源是否与监测计划一致，并通过生产月报表、电表数据记录、车间的耗电量记录、能源消耗台账等相关记录交叉核对。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污泥深度处理设施的直接排放量</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对于污泥处理设施的不同种类的化石燃料消耗量，应确认数据来源是否与监测计划一致，并核对抄表记录、各车间能源消耗台账。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污泥深度处理设施采用的工艺</w:t>
            </w:r>
          </w:p>
        </w:tc>
        <w:tc>
          <w:tcPr>
            <w:tcW w:w="6391" w:type="dxa"/>
            <w:vAlign w:val="center"/>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说明污泥处理设施采用的生产工艺</w:t>
            </w:r>
          </w:p>
        </w:tc>
      </w:tr>
    </w:tbl>
    <w:p>
      <w:pPr>
        <w:pStyle w:val="147"/>
        <w:snapToGrid w:val="0"/>
        <w:spacing w:line="320" w:lineRule="exact"/>
        <w:ind w:firstLine="420" w:firstLineChars="200"/>
        <w:rPr>
          <w:rFonts w:ascii="仿宋" w:hAnsi="仿宋" w:eastAsia="仿宋" w:cs="Times New Roman"/>
          <w:color w:val="auto"/>
          <w:sz w:val="21"/>
          <w:szCs w:val="21"/>
        </w:rPr>
      </w:pPr>
      <w:r>
        <w:rPr>
          <w:rFonts w:hint="eastAsia" w:ascii="仿宋" w:hAnsi="仿宋" w:eastAsia="仿宋" w:cs="Times New Roman"/>
          <w:color w:val="auto"/>
          <w:sz w:val="21"/>
          <w:szCs w:val="21"/>
        </w:rPr>
        <w:t>注：</w:t>
      </w:r>
      <w:r>
        <w:rPr>
          <w:rFonts w:ascii="仿宋" w:hAnsi="仿宋" w:eastAsia="仿宋" w:cs="Times New Roman"/>
          <w:color w:val="auto"/>
          <w:sz w:val="21"/>
          <w:szCs w:val="21"/>
        </w:rPr>
        <w:t>污泥</w:t>
      </w:r>
      <w:r>
        <w:rPr>
          <w:rFonts w:hint="eastAsia" w:ascii="仿宋" w:hAnsi="仿宋" w:eastAsia="仿宋" w:cs="Times New Roman"/>
          <w:color w:val="auto"/>
          <w:sz w:val="21"/>
          <w:szCs w:val="21"/>
        </w:rPr>
        <w:t>深度</w:t>
      </w:r>
      <w:r>
        <w:rPr>
          <w:rFonts w:ascii="仿宋" w:hAnsi="仿宋" w:eastAsia="仿宋" w:cs="Times New Roman"/>
          <w:color w:val="auto"/>
          <w:sz w:val="21"/>
          <w:szCs w:val="21"/>
        </w:rPr>
        <w:t>处理设施</w:t>
      </w:r>
      <w:r>
        <w:rPr>
          <w:rFonts w:hint="eastAsia" w:ascii="仿宋" w:hAnsi="仿宋" w:eastAsia="仿宋" w:cs="Times New Roman"/>
          <w:color w:val="auto"/>
          <w:sz w:val="21"/>
          <w:szCs w:val="21"/>
        </w:rPr>
        <w:t>排放</w:t>
      </w:r>
      <w:r>
        <w:rPr>
          <w:rFonts w:ascii="仿宋" w:hAnsi="仿宋" w:eastAsia="仿宋" w:cs="Times New Roman"/>
          <w:color w:val="auto"/>
          <w:sz w:val="21"/>
          <w:szCs w:val="21"/>
        </w:rPr>
        <w:t>边界</w:t>
      </w:r>
      <w:r>
        <w:rPr>
          <w:rFonts w:hint="eastAsia" w:ascii="仿宋" w:hAnsi="仿宋" w:eastAsia="仿宋" w:cs="Times New Roman"/>
          <w:color w:val="auto"/>
          <w:sz w:val="21"/>
          <w:szCs w:val="21"/>
        </w:rPr>
        <w:t>确定：</w:t>
      </w:r>
      <w:r>
        <w:rPr>
          <w:rFonts w:ascii="仿宋" w:hAnsi="仿宋" w:eastAsia="仿宋" w:cs="Times New Roman"/>
          <w:color w:val="auto"/>
          <w:sz w:val="21"/>
          <w:szCs w:val="21"/>
        </w:rPr>
        <w:t>污泥脱水部分</w:t>
      </w:r>
      <w:r>
        <w:rPr>
          <w:rFonts w:hint="eastAsia" w:ascii="仿宋" w:hAnsi="仿宋" w:eastAsia="仿宋" w:cs="Times New Roman"/>
          <w:color w:val="auto"/>
          <w:sz w:val="21"/>
          <w:szCs w:val="21"/>
        </w:rPr>
        <w:t>的排放量，包含在污水处理及再生水设施的排放中；</w:t>
      </w:r>
      <w:r>
        <w:rPr>
          <w:rFonts w:ascii="仿宋" w:hAnsi="仿宋" w:eastAsia="仿宋" w:cs="Times New Roman"/>
          <w:color w:val="auto"/>
          <w:sz w:val="21"/>
          <w:szCs w:val="21"/>
        </w:rPr>
        <w:t>脱水后的泥饼进行深度处理</w:t>
      </w:r>
      <w:r>
        <w:rPr>
          <w:rFonts w:hint="eastAsia" w:ascii="仿宋" w:hAnsi="仿宋" w:eastAsia="仿宋" w:cs="Times New Roman"/>
          <w:color w:val="auto"/>
          <w:sz w:val="21"/>
          <w:szCs w:val="21"/>
        </w:rPr>
        <w:t>产生的排放量</w:t>
      </w:r>
      <w:r>
        <w:rPr>
          <w:rFonts w:ascii="仿宋" w:hAnsi="仿宋" w:eastAsia="仿宋" w:cs="Times New Roman"/>
          <w:color w:val="auto"/>
          <w:sz w:val="21"/>
          <w:szCs w:val="21"/>
        </w:rPr>
        <w:t>作为污泥处理</w:t>
      </w:r>
      <w:r>
        <w:rPr>
          <w:rFonts w:hint="eastAsia" w:ascii="仿宋" w:hAnsi="仿宋" w:eastAsia="仿宋" w:cs="Times New Roman"/>
          <w:color w:val="auto"/>
          <w:sz w:val="21"/>
          <w:szCs w:val="21"/>
        </w:rPr>
        <w:t>深度</w:t>
      </w:r>
      <w:r>
        <w:rPr>
          <w:rFonts w:ascii="仿宋" w:hAnsi="仿宋" w:eastAsia="仿宋" w:cs="Times New Roman"/>
          <w:color w:val="auto"/>
          <w:sz w:val="21"/>
          <w:szCs w:val="21"/>
        </w:rPr>
        <w:t>设施</w:t>
      </w:r>
      <w:r>
        <w:rPr>
          <w:rFonts w:hint="eastAsia" w:ascii="仿宋" w:hAnsi="仿宋" w:eastAsia="仿宋" w:cs="Times New Roman"/>
          <w:color w:val="auto"/>
          <w:sz w:val="21"/>
          <w:szCs w:val="21"/>
        </w:rPr>
        <w:t>的</w:t>
      </w:r>
      <w:r>
        <w:rPr>
          <w:rFonts w:ascii="仿宋" w:hAnsi="仿宋" w:eastAsia="仿宋" w:cs="Times New Roman"/>
          <w:color w:val="auto"/>
          <w:sz w:val="21"/>
          <w:szCs w:val="21"/>
        </w:rPr>
        <w:t>排放量</w:t>
      </w:r>
      <w:r>
        <w:rPr>
          <w:rFonts w:hint="eastAsia" w:ascii="仿宋" w:hAnsi="仿宋" w:eastAsia="仿宋" w:cs="Times New Roman"/>
          <w:color w:val="auto"/>
          <w:sz w:val="21"/>
          <w:szCs w:val="21"/>
        </w:rPr>
        <w:t>。</w:t>
      </w:r>
    </w:p>
    <w:p>
      <w:pPr>
        <w:spacing w:after="0" w:line="560" w:lineRule="exact"/>
        <w:jc w:val="center"/>
        <w:rPr>
          <w:rFonts w:ascii="仿宋_GB2312" w:hAnsi="仿宋" w:eastAsia="仿宋_GB2312"/>
          <w:b/>
          <w:sz w:val="32"/>
          <w:szCs w:val="32"/>
          <w:lang w:val="en-US"/>
        </w:rPr>
      </w:pPr>
    </w:p>
    <w:p>
      <w:pPr>
        <w:spacing w:after="0" w:line="560" w:lineRule="exact"/>
        <w:jc w:val="center"/>
        <w:rPr>
          <w:rFonts w:ascii="仿宋_GB2312" w:hAnsi="仿宋" w:eastAsia="仿宋_GB2312"/>
          <w:b/>
          <w:sz w:val="32"/>
          <w:szCs w:val="32"/>
          <w:lang w:val="en-US"/>
        </w:rPr>
      </w:pPr>
      <w:r>
        <w:rPr>
          <w:rFonts w:hint="eastAsia" w:ascii="仿宋_GB2312" w:hAnsi="仿宋" w:eastAsia="仿宋_GB2312"/>
          <w:b/>
          <w:sz w:val="32"/>
          <w:szCs w:val="32"/>
          <w:lang w:val="en-US"/>
        </w:rPr>
        <w:t>自来水供应业企业补充数据表</w:t>
      </w:r>
    </w:p>
    <w:tbl>
      <w:tblPr>
        <w:tblStyle w:val="36"/>
        <w:tblW w:w="90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89"/>
        <w:gridCol w:w="6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2689" w:type="dxa"/>
            <w:vAlign w:val="top"/>
          </w:tcPr>
          <w:p>
            <w:pPr>
              <w:spacing w:after="0" w:line="300" w:lineRule="auto"/>
              <w:ind w:firstLine="359"/>
              <w:jc w:val="center"/>
              <w:rPr>
                <w:rFonts w:ascii="仿宋_GB2312" w:hAnsi="楷体" w:eastAsia="仿宋_GB2312"/>
                <w:b/>
                <w:bCs/>
                <w:sz w:val="24"/>
                <w:szCs w:val="24"/>
              </w:rPr>
            </w:pPr>
            <w:r>
              <w:rPr>
                <w:rFonts w:hint="eastAsia" w:ascii="仿宋_GB2312" w:hAnsi="楷体" w:eastAsia="仿宋_GB2312"/>
                <w:b/>
                <w:bCs/>
                <w:sz w:val="24"/>
                <w:szCs w:val="24"/>
              </w:rPr>
              <w:t>报告参数</w:t>
            </w:r>
          </w:p>
        </w:tc>
        <w:tc>
          <w:tcPr>
            <w:tcW w:w="6382" w:type="dxa"/>
            <w:vAlign w:val="top"/>
          </w:tcPr>
          <w:p>
            <w:pPr>
              <w:spacing w:after="0" w:line="300" w:lineRule="auto"/>
              <w:jc w:val="center"/>
              <w:rPr>
                <w:rFonts w:ascii="仿宋_GB2312" w:hAnsi="楷体" w:eastAsia="仿宋_GB2312"/>
                <w:b/>
                <w:bCs/>
                <w:sz w:val="24"/>
                <w:szCs w:val="24"/>
              </w:rPr>
            </w:pPr>
            <w:r>
              <w:rPr>
                <w:rFonts w:hint="eastAsia" w:ascii="仿宋_GB2312" w:hAnsi="楷体" w:eastAsia="仿宋_GB2312"/>
                <w:b/>
                <w:bCs/>
                <w:sz w:val="24"/>
                <w:szCs w:val="24"/>
              </w:rPr>
              <w:t>核查要求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rPr>
                <w:rFonts w:ascii="仿宋_GB2312" w:hAnsi="楷体" w:eastAsia="仿宋_GB2312"/>
                <w:sz w:val="24"/>
                <w:szCs w:val="24"/>
              </w:rPr>
            </w:pPr>
            <w:r>
              <w:rPr>
                <w:rFonts w:hint="eastAsia" w:ascii="仿宋_GB2312" w:hAnsi="楷体" w:eastAsia="仿宋_GB2312"/>
                <w:sz w:val="24"/>
                <w:szCs w:val="24"/>
              </w:rPr>
              <w:t>自来水产量</w:t>
            </w:r>
          </w:p>
        </w:tc>
        <w:tc>
          <w:tcPr>
            <w:tcW w:w="638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核查组应确定受核查方的自来水产量。自来水产量的数据除来自企业产量报表外，还应与上报统计局的产量产值相关数据核对。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rPr>
                <w:rFonts w:ascii="仿宋_GB2312" w:hAnsi="楷体" w:eastAsia="仿宋_GB2312"/>
                <w:sz w:val="24"/>
                <w:szCs w:val="24"/>
              </w:rPr>
            </w:pPr>
            <w:r>
              <w:rPr>
                <w:rFonts w:hint="eastAsia" w:ascii="仿宋_GB2312" w:hAnsi="楷体" w:eastAsia="仿宋_GB2312"/>
                <w:sz w:val="24"/>
                <w:szCs w:val="24"/>
              </w:rPr>
              <w:t>输入的地下水、地表水的数量</w:t>
            </w:r>
          </w:p>
        </w:tc>
        <w:tc>
          <w:tcPr>
            <w:tcW w:w="638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核查组应确认受核查方输入的地下水、地表水的数量的数据来源是否与监测计划一致，并通过生产月报表、水源地分公司输出水的水表数据记录、输入地下水/地表水的水泵耗电量等相关记录交叉核对。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689" w:type="dxa"/>
            <w:vAlign w:val="center"/>
          </w:tcPr>
          <w:p>
            <w:pPr>
              <w:spacing w:after="0" w:line="300" w:lineRule="auto"/>
              <w:ind w:firstLine="480" w:firstLineChars="200"/>
              <w:rPr>
                <w:rFonts w:ascii="仿宋_GB2312" w:hAnsi="楷体" w:eastAsia="仿宋_GB2312"/>
                <w:sz w:val="24"/>
                <w:szCs w:val="24"/>
              </w:rPr>
            </w:pPr>
            <w:r>
              <w:rPr>
                <w:rFonts w:hint="eastAsia" w:ascii="仿宋_GB2312" w:hAnsi="楷体" w:eastAsia="仿宋_GB2312"/>
                <w:sz w:val="24"/>
                <w:szCs w:val="24"/>
              </w:rPr>
              <w:t>输入地下水/地表水的水泵耗电量</w:t>
            </w:r>
          </w:p>
        </w:tc>
        <w:tc>
          <w:tcPr>
            <w:tcW w:w="6382" w:type="dxa"/>
          </w:tcPr>
          <w:p>
            <w:pPr>
              <w:spacing w:after="0" w:line="300" w:lineRule="auto"/>
              <w:ind w:firstLine="480" w:firstLineChars="200"/>
              <w:jc w:val="both"/>
              <w:rPr>
                <w:rFonts w:ascii="仿宋_GB2312" w:hAnsi="楷体" w:eastAsia="仿宋_GB2312"/>
                <w:sz w:val="24"/>
                <w:szCs w:val="24"/>
              </w:rPr>
            </w:pPr>
            <w:r>
              <w:rPr>
                <w:rFonts w:hint="eastAsia" w:ascii="仿宋_GB2312" w:hAnsi="楷体" w:eastAsia="仿宋_GB2312"/>
                <w:sz w:val="24"/>
                <w:szCs w:val="24"/>
              </w:rPr>
              <w:t>对于各分水厂用于不同来源水量抽取的水泵单独计量的电量，应确认监测设备的校准、数据记录等活动是否符合监测计划的要求，并核对抄表记录、各车间能源消耗台账。</w:t>
            </w:r>
          </w:p>
        </w:tc>
      </w:tr>
    </w:tbl>
    <w:p>
      <w:pPr>
        <w:spacing w:after="0" w:line="560" w:lineRule="exact"/>
        <w:rPr>
          <w:rFonts w:ascii="仿宋_GB2312" w:hAnsi="仿宋" w:eastAsia="仿宋_GB2312"/>
          <w:b/>
          <w:sz w:val="32"/>
          <w:szCs w:val="32"/>
        </w:rPr>
        <w:sectPr>
          <w:pgSz w:w="11906" w:h="16838"/>
          <w:pgMar w:top="2098" w:right="1474" w:bottom="1984" w:left="1587" w:header="851" w:footer="1587" w:gutter="0"/>
          <w:paperSrc/>
          <w:pgNumType w:fmt="decimal"/>
          <w:cols w:space="0" w:num="1"/>
          <w:rtlGutter w:val="0"/>
          <w:docGrid w:type="lines" w:linePitch="312" w:charSpace="0"/>
        </w:sectPr>
      </w:pPr>
    </w:p>
    <w:p>
      <w:pPr>
        <w:ind w:firstLine="480" w:firstLineChars="150"/>
        <w:jc w:val="center"/>
        <w:rPr>
          <w:rFonts w:ascii="黑体" w:hAnsi="黑体" w:eastAsia="黑体"/>
          <w:bCs/>
          <w:sz w:val="32"/>
          <w:szCs w:val="28"/>
        </w:rPr>
      </w:pPr>
      <w:r>
        <w:rPr>
          <w:rFonts w:hint="eastAsia" w:ascii="黑体" w:hAnsi="黑体" w:eastAsia="黑体"/>
          <w:bCs/>
          <w:sz w:val="32"/>
          <w:szCs w:val="28"/>
        </w:rPr>
        <w:t>出租车客运企业补充数据表</w:t>
      </w:r>
    </w:p>
    <w:tbl>
      <w:tblPr>
        <w:tblStyle w:val="35"/>
        <w:tblW w:w="5000" w:type="pct"/>
        <w:tblInd w:w="0" w:type="dxa"/>
        <w:tblLayout w:type="autofit"/>
        <w:tblCellMar>
          <w:top w:w="0" w:type="dxa"/>
          <w:left w:w="108" w:type="dxa"/>
          <w:bottom w:w="0" w:type="dxa"/>
          <w:right w:w="108" w:type="dxa"/>
        </w:tblCellMar>
      </w:tblPr>
      <w:tblGrid>
        <w:gridCol w:w="719"/>
        <w:gridCol w:w="1215"/>
        <w:gridCol w:w="1712"/>
        <w:gridCol w:w="967"/>
        <w:gridCol w:w="1216"/>
        <w:gridCol w:w="471"/>
        <w:gridCol w:w="471"/>
        <w:gridCol w:w="720"/>
        <w:gridCol w:w="471"/>
        <w:gridCol w:w="473"/>
        <w:gridCol w:w="471"/>
        <w:gridCol w:w="471"/>
        <w:gridCol w:w="967"/>
        <w:gridCol w:w="720"/>
        <w:gridCol w:w="791"/>
        <w:gridCol w:w="967"/>
        <w:gridCol w:w="451"/>
        <w:gridCol w:w="901"/>
      </w:tblGrid>
      <w:tr>
        <w:tblPrEx>
          <w:tblCellMar>
            <w:top w:w="0" w:type="dxa"/>
            <w:left w:w="108" w:type="dxa"/>
            <w:bottom w:w="0" w:type="dxa"/>
            <w:right w:w="108" w:type="dxa"/>
          </w:tblCellMar>
        </w:tblPrEx>
        <w:trPr>
          <w:trHeight w:val="922" w:hRule="atLeast"/>
        </w:trPr>
        <w:tc>
          <w:tcPr>
            <w:tcW w:w="25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序号</w:t>
            </w:r>
          </w:p>
        </w:tc>
        <w:tc>
          <w:tcPr>
            <w:tcW w:w="42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车辆型号</w:t>
            </w:r>
          </w:p>
        </w:tc>
        <w:tc>
          <w:tcPr>
            <w:tcW w:w="604"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车辆排放标准</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车辆数</w:t>
            </w:r>
          </w:p>
        </w:tc>
        <w:tc>
          <w:tcPr>
            <w:tcW w:w="42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能源类型</w:t>
            </w:r>
          </w:p>
        </w:tc>
        <w:tc>
          <w:tcPr>
            <w:tcW w:w="91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年度累计行驶里程</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百公里单耗缺省值</w:t>
            </w:r>
          </w:p>
        </w:tc>
        <w:tc>
          <w:tcPr>
            <w:tcW w:w="137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能源消耗量</w:t>
            </w:r>
          </w:p>
        </w:tc>
        <w:tc>
          <w:tcPr>
            <w:tcW w:w="31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宋体"/>
                <w:color w:val="000000"/>
                <w:sz w:val="21"/>
                <w:szCs w:val="21"/>
              </w:rPr>
            </w:pPr>
            <w:r>
              <w:rPr>
                <w:rFonts w:hint="eastAsia" w:cs="宋体"/>
                <w:color w:val="000000"/>
                <w:sz w:val="21"/>
                <w:szCs w:val="21"/>
                <w:lang w:bidi="ar"/>
              </w:rPr>
              <w:t>年度累计碳排放量（吨）</w:t>
            </w:r>
          </w:p>
        </w:tc>
      </w:tr>
      <w:tr>
        <w:tblPrEx>
          <w:tblCellMar>
            <w:top w:w="0" w:type="dxa"/>
            <w:left w:w="108" w:type="dxa"/>
            <w:bottom w:w="0" w:type="dxa"/>
            <w:right w:w="108" w:type="dxa"/>
          </w:tblCellMar>
        </w:tblPrEx>
        <w:trPr>
          <w:trHeight w:val="1969" w:hRule="atLeast"/>
        </w:trPr>
        <w:tc>
          <w:tcPr>
            <w:tcW w:w="25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60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42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累计里程</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京内里程</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天津、河北里程</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京津冀外里程</w:t>
            </w:r>
          </w:p>
        </w:tc>
        <w:tc>
          <w:tcPr>
            <w:tcW w:w="167"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数据获取方式</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数据结果</w:t>
            </w:r>
          </w:p>
        </w:tc>
        <w:tc>
          <w:tcPr>
            <w:tcW w:w="166"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数据获取方式</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汽油（升）</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电（千瓦时）</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天然气（立方米）</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柴油（升）</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textAlignment w:val="center"/>
              <w:rPr>
                <w:rFonts w:cs="宋体"/>
                <w:color w:val="000000"/>
                <w:sz w:val="21"/>
                <w:szCs w:val="21"/>
              </w:rPr>
            </w:pPr>
            <w:r>
              <w:rPr>
                <w:rFonts w:hint="eastAsia" w:cs="宋体"/>
                <w:color w:val="000000"/>
                <w:sz w:val="21"/>
                <w:szCs w:val="21"/>
                <w:lang w:bidi="ar"/>
              </w:rPr>
              <w:t>数据获取方式</w:t>
            </w:r>
          </w:p>
        </w:tc>
        <w:tc>
          <w:tcPr>
            <w:tcW w:w="31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cs="宋体"/>
                <w:color w:val="000000"/>
                <w:sz w:val="21"/>
                <w:szCs w:val="21"/>
              </w:rPr>
            </w:pPr>
          </w:p>
        </w:tc>
      </w:tr>
      <w:tr>
        <w:tblPrEx>
          <w:tblCellMar>
            <w:top w:w="0" w:type="dxa"/>
            <w:left w:w="108" w:type="dxa"/>
            <w:bottom w:w="0" w:type="dxa"/>
            <w:right w:w="108" w:type="dxa"/>
          </w:tblCellMar>
        </w:tblPrEx>
        <w:trPr>
          <w:trHeight w:val="663"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ascii="宋体" w:hAnsi="宋体" w:cs="等线"/>
                <w:color w:val="000000"/>
                <w:sz w:val="21"/>
                <w:szCs w:val="21"/>
                <w:lang w:bidi="ar"/>
              </w:rPr>
              <w:t>1</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r>
      <w:tr>
        <w:tblPrEx>
          <w:tblCellMar>
            <w:top w:w="0" w:type="dxa"/>
            <w:left w:w="108" w:type="dxa"/>
            <w:bottom w:w="0" w:type="dxa"/>
            <w:right w:w="108" w:type="dxa"/>
          </w:tblCellMar>
        </w:tblPrEx>
        <w:trPr>
          <w:trHeight w:val="663"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ascii="宋体" w:hAnsi="宋体" w:cs="等线"/>
                <w:color w:val="000000"/>
                <w:sz w:val="21"/>
                <w:szCs w:val="21"/>
                <w:lang w:bidi="ar"/>
              </w:rPr>
              <w:t>2</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r>
      <w:tr>
        <w:tblPrEx>
          <w:tblCellMar>
            <w:top w:w="0" w:type="dxa"/>
            <w:left w:w="108" w:type="dxa"/>
            <w:bottom w:w="0" w:type="dxa"/>
            <w:right w:w="108" w:type="dxa"/>
          </w:tblCellMar>
        </w:tblPrEx>
        <w:trPr>
          <w:trHeight w:val="663"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ascii="宋体" w:hAnsi="宋体" w:cs="等线"/>
                <w:color w:val="000000"/>
                <w:sz w:val="21"/>
                <w:szCs w:val="21"/>
                <w:lang w:bidi="ar"/>
              </w:rPr>
              <w:t>3</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r>
      <w:tr>
        <w:tblPrEx>
          <w:tblCellMar>
            <w:top w:w="0" w:type="dxa"/>
            <w:left w:w="108" w:type="dxa"/>
            <w:bottom w:w="0" w:type="dxa"/>
            <w:right w:w="108" w:type="dxa"/>
          </w:tblCellMar>
        </w:tblPrEx>
        <w:trPr>
          <w:trHeight w:val="663" w:hRule="atLeast"/>
        </w:trPr>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宋体" w:hAnsi="宋体" w:cs="等线"/>
                <w:color w:val="000000"/>
                <w:sz w:val="21"/>
                <w:szCs w:val="21"/>
              </w:rPr>
            </w:pPr>
            <w:r>
              <w:rPr>
                <w:rFonts w:hint="eastAsia" w:ascii="宋体" w:hAnsi="宋体" w:cs="等线"/>
                <w:color w:val="000000"/>
                <w:sz w:val="21"/>
                <w:szCs w:val="21"/>
                <w:lang w:bidi="ar"/>
              </w:rPr>
              <w:t>合计</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宋体" w:hAnsi="宋体" w:cs="等线"/>
                <w:color w:val="000000"/>
                <w:sz w:val="21"/>
                <w:szCs w:val="21"/>
              </w:rPr>
            </w:pPr>
          </w:p>
        </w:tc>
        <w:tc>
          <w:tcPr>
            <w:tcW w:w="1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color w:val="000000"/>
                <w:sz w:val="21"/>
                <w:szCs w:val="21"/>
              </w:rPr>
            </w:pPr>
          </w:p>
        </w:tc>
      </w:tr>
    </w:tbl>
    <w:p>
      <w:pPr>
        <w:spacing w:line="240" w:lineRule="auto"/>
        <w:ind w:firstLine="315" w:firstLineChars="150"/>
        <w:rPr>
          <w:rFonts w:ascii="宋体" w:hAnsi="宋体"/>
          <w:bCs/>
          <w:sz w:val="21"/>
          <w:szCs w:val="21"/>
        </w:rPr>
      </w:pPr>
      <w:r>
        <w:rPr>
          <w:rFonts w:hint="eastAsia" w:ascii="宋体" w:hAnsi="宋体"/>
          <w:bCs/>
          <w:sz w:val="21"/>
          <w:szCs w:val="21"/>
        </w:rPr>
        <w:t>核查要求：</w:t>
      </w:r>
    </w:p>
    <w:p>
      <w:pPr>
        <w:rPr>
          <w:rFonts w:asciiTheme="minorEastAsia" w:hAnsiTheme="minorEastAsia" w:eastAsiaTheme="minorEastAsia"/>
          <w:bCs/>
          <w:sz w:val="21"/>
          <w:szCs w:val="21"/>
        </w:rPr>
      </w:pPr>
      <w:r>
        <w:rPr>
          <w:rFonts w:asciiTheme="minorEastAsia" w:hAnsiTheme="minorEastAsia" w:eastAsiaTheme="minorEastAsia"/>
          <w:bCs/>
          <w:sz w:val="21"/>
          <w:szCs w:val="21"/>
        </w:rPr>
        <w:t xml:space="preserve">1.车辆型号：按照车辆的实际品牌及车辆型号填写，如北汽新能源EU500; </w:t>
      </w:r>
    </w:p>
    <w:p>
      <w:pPr>
        <w:rPr>
          <w:rFonts w:asciiTheme="minorEastAsia" w:hAnsiTheme="minorEastAsia" w:eastAsiaTheme="minorEastAsia"/>
          <w:bCs/>
          <w:sz w:val="21"/>
          <w:szCs w:val="21"/>
        </w:rPr>
      </w:pPr>
      <w:r>
        <w:rPr>
          <w:rFonts w:asciiTheme="minorEastAsia" w:hAnsiTheme="minorEastAsia" w:eastAsiaTheme="minorEastAsia"/>
          <w:bCs/>
          <w:sz w:val="21"/>
          <w:szCs w:val="21"/>
        </w:rPr>
        <w:t>2.车辆排放标准：按照车辆实际的排放标准进行填写，，例如国Ⅵ、国Ⅴ；</w:t>
      </w:r>
    </w:p>
    <w:p>
      <w:pPr>
        <w:rPr>
          <w:rFonts w:asciiTheme="minorEastAsia" w:hAnsiTheme="minorEastAsia" w:eastAsiaTheme="minorEastAsia"/>
          <w:bCs/>
          <w:sz w:val="21"/>
          <w:szCs w:val="21"/>
        </w:rPr>
      </w:pPr>
      <w:r>
        <w:rPr>
          <w:rFonts w:asciiTheme="minorEastAsia" w:hAnsiTheme="minorEastAsia" w:eastAsiaTheme="minorEastAsia"/>
          <w:bCs/>
          <w:sz w:val="21"/>
          <w:szCs w:val="21"/>
        </w:rPr>
        <w:t>3.车辆数量：填写登记注册在企业名下每种车型及排放标准的车辆保有量;</w:t>
      </w:r>
    </w:p>
    <w:p>
      <w:pPr>
        <w:rPr>
          <w:rFonts w:asciiTheme="minorEastAsia" w:hAnsiTheme="minorEastAsia" w:eastAsiaTheme="minorEastAsia"/>
          <w:bCs/>
          <w:sz w:val="21"/>
          <w:szCs w:val="21"/>
        </w:rPr>
      </w:pPr>
      <w:r>
        <w:rPr>
          <w:rFonts w:asciiTheme="minorEastAsia" w:hAnsiTheme="minorEastAsia" w:eastAsiaTheme="minorEastAsia"/>
          <w:bCs/>
          <w:sz w:val="21"/>
          <w:szCs w:val="21"/>
        </w:rPr>
        <w:t>4.安装SCR车辆数：填写登记注册在企业名下车辆中安装了SCR设备的车辆保有量</w:t>
      </w:r>
    </w:p>
    <w:p>
      <w:pPr>
        <w:rPr>
          <w:rFonts w:asciiTheme="minorEastAsia" w:hAnsiTheme="minorEastAsia" w:eastAsiaTheme="minorEastAsia"/>
          <w:bCs/>
          <w:sz w:val="21"/>
          <w:szCs w:val="21"/>
        </w:rPr>
      </w:pPr>
      <w:r>
        <w:rPr>
          <w:rFonts w:asciiTheme="minorEastAsia" w:hAnsiTheme="minorEastAsia" w:eastAsiaTheme="minorEastAsia"/>
          <w:bCs/>
          <w:sz w:val="21"/>
          <w:szCs w:val="21"/>
        </w:rPr>
        <w:t>5.能源类型：填写每种车型及排放标准的车辆对应燃料种类，如柴油、汽油、天然气、电力;</w:t>
      </w:r>
    </w:p>
    <w:p>
      <w:pPr>
        <w:rPr>
          <w:rFonts w:asciiTheme="minorEastAsia" w:hAnsiTheme="minorEastAsia" w:eastAsiaTheme="minorEastAsia"/>
          <w:bCs/>
          <w:sz w:val="21"/>
          <w:szCs w:val="21"/>
        </w:rPr>
      </w:pPr>
      <w:r>
        <w:rPr>
          <w:rFonts w:asciiTheme="minorEastAsia" w:hAnsiTheme="minorEastAsia" w:eastAsiaTheme="minorEastAsia"/>
          <w:bCs/>
          <w:sz w:val="21"/>
          <w:szCs w:val="21"/>
        </w:rPr>
        <w:t>6.年度累计行驶里程（公里）：</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1）累计里程：企业旗下车辆单车在全国范围内运行的全部里程合计；</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2）京内里程：企业旗下车辆单车在北京市域范围内运行的全部里程合计；</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3）天津、河北里程：企业旗下车辆单车在天津市及河北省域范围内运行的全部里程合计；</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4）京津冀外里程：企业旗下车辆单车在全国除北京市、天津市、河北省域范围外运行的全部里程合计；</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5）数据获取方式：</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①企业通过自有单车级大数据监控平台获取得到的单车级车辆行驶里程；</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②企业通过对旗下车辆仪表盘进行抄表统计获得的单车级车辆行驶里程；</w:t>
      </w:r>
    </w:p>
    <w:p>
      <w:pPr>
        <w:rPr>
          <w:rFonts w:asciiTheme="minorEastAsia" w:hAnsiTheme="minorEastAsia" w:eastAsiaTheme="minorEastAsia"/>
          <w:bCs/>
          <w:sz w:val="21"/>
          <w:szCs w:val="21"/>
        </w:rPr>
      </w:pPr>
      <w:r>
        <w:rPr>
          <w:rFonts w:asciiTheme="minorEastAsia" w:hAnsiTheme="minorEastAsia" w:eastAsiaTheme="minorEastAsia"/>
          <w:bCs/>
          <w:sz w:val="21"/>
          <w:szCs w:val="21"/>
        </w:rPr>
        <w:t>7.客运量：填报公路运输企业旗下所有车辆在每年度内实际运送的旅客人数（人次）;</w:t>
      </w:r>
    </w:p>
    <w:p>
      <w:pPr>
        <w:rPr>
          <w:rFonts w:asciiTheme="minorEastAsia" w:hAnsiTheme="minorEastAsia" w:eastAsiaTheme="minorEastAsia"/>
          <w:bCs/>
          <w:sz w:val="21"/>
          <w:szCs w:val="21"/>
        </w:rPr>
      </w:pPr>
      <w:r>
        <w:rPr>
          <w:rFonts w:asciiTheme="minorEastAsia" w:hAnsiTheme="minorEastAsia" w:eastAsiaTheme="minorEastAsia"/>
          <w:bCs/>
          <w:sz w:val="21"/>
          <w:szCs w:val="21"/>
        </w:rPr>
        <w:t>8.客运周转量：填报公路运输企业旗下所有车辆在每年度内实际运送的旅客运输总量指标（人公里），基于客运量及平均运距乘积得到；</w:t>
      </w:r>
    </w:p>
    <w:p>
      <w:pPr>
        <w:rPr>
          <w:rFonts w:asciiTheme="minorEastAsia" w:hAnsiTheme="minorEastAsia" w:eastAsiaTheme="minorEastAsia"/>
          <w:bCs/>
          <w:sz w:val="21"/>
          <w:szCs w:val="21"/>
        </w:rPr>
      </w:pPr>
      <w:r>
        <w:rPr>
          <w:rFonts w:asciiTheme="minorEastAsia" w:hAnsiTheme="minorEastAsia" w:eastAsiaTheme="minorEastAsia"/>
          <w:bCs/>
          <w:sz w:val="21"/>
          <w:szCs w:val="21"/>
        </w:rPr>
        <w:t>9.百公里单耗：</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百公里单耗数据结果：填报企业企业车辆（单车级）在运行单位距离（通常标定为100公里）时产生的能源消耗量，单位主要是：kg/百公里、立方米/百公里、千瓦时/百公里（企业如统计汽油、柴油车辆百公里单耗时统计单位为升时，可按照汽油0.73kg/L,柴油0.86kg/L进行单位换算）</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2）数据获取方式：</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①企业通过自有单车级大数据监控平台获取得到的单车级车辆百公里能耗；</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②企业通过参考主管部门提供的单车级车辆百公里能耗推荐值；</w:t>
      </w:r>
    </w:p>
    <w:p>
      <w:pPr>
        <w:rPr>
          <w:rFonts w:asciiTheme="minorEastAsia" w:hAnsiTheme="minorEastAsia" w:eastAsiaTheme="minorEastAsia"/>
          <w:bCs/>
          <w:sz w:val="21"/>
          <w:szCs w:val="21"/>
        </w:rPr>
      </w:pPr>
      <w:r>
        <w:rPr>
          <w:rFonts w:asciiTheme="minorEastAsia" w:hAnsiTheme="minorEastAsia" w:eastAsiaTheme="minorEastAsia"/>
          <w:bCs/>
          <w:sz w:val="21"/>
          <w:szCs w:val="21"/>
        </w:rPr>
        <w:t>10.能源消耗量：</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能源消耗量：填报企业旗下车辆因运行而产生的能源消耗总量，按照车辆对应的能源类型，将实际的能源消耗量填写到对应的格内，单位主要是：吨、立方米、千瓦时（企业如统计汽油、柴油时统计单位为升时，可按照汽油0.73kg/L,柴油0.86kg/L进行单位换算）；</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2）数据获取方式：</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①基于单车级的能源消耗量统计手段进行能源消耗统计，一车一卡或一车一个充电账号等手段获取；</w:t>
      </w:r>
    </w:p>
    <w:p>
      <w:pPr>
        <w:rPr>
          <w:rFonts w:asciiTheme="minorEastAsia" w:hAnsiTheme="minorEastAsia" w:eastAsiaTheme="minorEastAsia"/>
          <w:bCs/>
          <w:sz w:val="21"/>
          <w:szCs w:val="21"/>
        </w:rPr>
      </w:pPr>
      <w:r>
        <w:rPr>
          <w:rFonts w:hint="eastAsia" w:asciiTheme="minorEastAsia" w:hAnsiTheme="minorEastAsia" w:eastAsiaTheme="minorEastAsia"/>
          <w:bCs/>
          <w:sz w:val="21"/>
          <w:szCs w:val="21"/>
        </w:rPr>
        <w:t>②基于单车级的车辆行驶里程与百公里单耗数据结果计算得到；</w:t>
      </w:r>
    </w:p>
    <w:p>
      <w:pPr>
        <w:rPr>
          <w:rFonts w:asciiTheme="minorEastAsia" w:hAnsiTheme="minorEastAsia" w:eastAsiaTheme="minorEastAsia"/>
          <w:bCs/>
          <w:sz w:val="21"/>
          <w:szCs w:val="21"/>
        </w:rPr>
        <w:sectPr>
          <w:footerReference r:id="rId7" w:type="default"/>
          <w:footerReference r:id="rId8" w:type="even"/>
          <w:pgSz w:w="16838" w:h="11906" w:orient="landscape"/>
          <w:pgMar w:top="1587" w:right="1440" w:bottom="1474" w:left="1440" w:header="851" w:footer="1134" w:gutter="0"/>
          <w:paperSrc/>
          <w:pgNumType w:fmt="decimal"/>
          <w:cols w:space="0" w:num="1"/>
          <w:rtlGutter w:val="0"/>
          <w:docGrid w:linePitch="326" w:charSpace="0"/>
        </w:sectPr>
      </w:pPr>
      <w:r>
        <w:rPr>
          <w:rFonts w:asciiTheme="minorEastAsia" w:hAnsiTheme="minorEastAsia" w:eastAsiaTheme="minorEastAsia"/>
          <w:bCs/>
          <w:sz w:val="21"/>
          <w:szCs w:val="21"/>
        </w:rPr>
        <w:t>11.</w:t>
      </w:r>
      <w:r>
        <w:rPr>
          <w:rFonts w:hint="eastAsia" w:asciiTheme="minorEastAsia" w:hAnsiTheme="minorEastAsia" w:eastAsiaTheme="minorEastAsia"/>
          <w:bCs/>
          <w:sz w:val="21"/>
          <w:szCs w:val="21"/>
        </w:rPr>
        <w:t>年度</w:t>
      </w:r>
      <w:r>
        <w:rPr>
          <w:rFonts w:asciiTheme="minorEastAsia" w:hAnsiTheme="minorEastAsia" w:eastAsiaTheme="minorEastAsia"/>
          <w:bCs/>
          <w:sz w:val="21"/>
          <w:szCs w:val="21"/>
        </w:rPr>
        <w:t>累计碳排放量：由统计得到的车辆运行能耗及每种能源类型对应的碳排放因子转换系数计算得到</w:t>
      </w:r>
      <w:r>
        <w:rPr>
          <w:rFonts w:hint="eastAsia" w:asciiTheme="minorEastAsia" w:hAnsiTheme="minorEastAsia" w:eastAsiaTheme="minorEastAsia"/>
          <w:bCs/>
          <w:sz w:val="21"/>
          <w:szCs w:val="21"/>
        </w:rPr>
        <w:t>。</w:t>
      </w:r>
    </w:p>
    <w:p>
      <w:pPr>
        <w:ind w:firstLine="480" w:firstLineChars="150"/>
        <w:jc w:val="center"/>
        <w:rPr>
          <w:rFonts w:ascii="黑体" w:hAnsi="黑体" w:eastAsia="黑体"/>
          <w:bCs/>
          <w:sz w:val="32"/>
          <w:szCs w:val="28"/>
        </w:rPr>
      </w:pPr>
      <w:r>
        <w:rPr>
          <w:rFonts w:hint="eastAsia" w:ascii="黑体" w:hAnsi="黑体" w:eastAsia="黑体"/>
          <w:bCs/>
          <w:sz w:val="32"/>
          <w:szCs w:val="28"/>
        </w:rPr>
        <w:t>公路旅客运输企业补充数据表</w:t>
      </w:r>
    </w:p>
    <w:tbl>
      <w:tblPr>
        <w:tblStyle w:val="35"/>
        <w:tblW w:w="0" w:type="auto"/>
        <w:tblInd w:w="98" w:type="dxa"/>
        <w:tblLayout w:type="autofit"/>
        <w:tblCellMar>
          <w:top w:w="0" w:type="dxa"/>
          <w:left w:w="108" w:type="dxa"/>
          <w:bottom w:w="0" w:type="dxa"/>
          <w:right w:w="108" w:type="dxa"/>
        </w:tblCellMar>
      </w:tblPr>
      <w:tblGrid>
        <w:gridCol w:w="440"/>
        <w:gridCol w:w="664"/>
        <w:gridCol w:w="552"/>
        <w:gridCol w:w="712"/>
        <w:gridCol w:w="728"/>
        <w:gridCol w:w="589"/>
        <w:gridCol w:w="664"/>
        <w:gridCol w:w="449"/>
        <w:gridCol w:w="449"/>
        <w:gridCol w:w="641"/>
        <w:gridCol w:w="529"/>
        <w:gridCol w:w="540"/>
        <w:gridCol w:w="599"/>
        <w:gridCol w:w="599"/>
        <w:gridCol w:w="449"/>
        <w:gridCol w:w="529"/>
        <w:gridCol w:w="790"/>
        <w:gridCol w:w="601"/>
        <w:gridCol w:w="681"/>
        <w:gridCol w:w="790"/>
        <w:gridCol w:w="791"/>
        <w:gridCol w:w="515"/>
        <w:gridCol w:w="775"/>
      </w:tblGrid>
      <w:tr>
        <w:tblPrEx>
          <w:tblCellMar>
            <w:top w:w="0" w:type="dxa"/>
            <w:left w:w="108" w:type="dxa"/>
            <w:bottom w:w="0" w:type="dxa"/>
            <w:right w:w="108" w:type="dxa"/>
          </w:tblCellMar>
        </w:tblPrEx>
        <w:trPr>
          <w:trHeight w:val="2247" w:hRule="atLeast"/>
        </w:trPr>
        <w:tc>
          <w:tcPr>
            <w:tcW w:w="4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序号</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车辆型号</w:t>
            </w:r>
          </w:p>
        </w:tc>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座位数</w:t>
            </w:r>
          </w:p>
        </w:tc>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车辆排放标准</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车辆数</w:t>
            </w:r>
          </w:p>
        </w:tc>
        <w:tc>
          <w:tcPr>
            <w:tcW w:w="6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安装</w:t>
            </w:r>
            <w:r>
              <w:rPr>
                <w:rFonts w:asciiTheme="minorEastAsia" w:hAnsiTheme="minorEastAsia" w:eastAsiaTheme="minorEastAsia" w:cstheme="minorBidi"/>
                <w:b/>
                <w:bCs/>
                <w:smallCaps/>
                <w:color w:val="000000" w:themeColor="text1"/>
                <w:spacing w:val="5"/>
                <w:sz w:val="21"/>
                <w:szCs w:val="21"/>
              </w:rPr>
              <w:t>SCR</w:t>
            </w:r>
            <w:r>
              <w:rPr>
                <w:rFonts w:hint="eastAsia" w:asciiTheme="minorEastAsia" w:hAnsiTheme="minorEastAsia" w:eastAsiaTheme="minorEastAsia" w:cstheme="minorBidi"/>
                <w:b/>
                <w:bCs/>
                <w:smallCaps/>
                <w:color w:val="000000" w:themeColor="text1"/>
                <w:spacing w:val="5"/>
                <w:sz w:val="21"/>
                <w:szCs w:val="21"/>
              </w:rPr>
              <w:t>车辆</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能源类型</w:t>
            </w:r>
          </w:p>
        </w:tc>
        <w:tc>
          <w:tcPr>
            <w:tcW w:w="2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年度累计行驶里程（万公里）</w:t>
            </w:r>
          </w:p>
        </w:tc>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客运量（万人）</w:t>
            </w:r>
          </w:p>
        </w:tc>
        <w:tc>
          <w:tcPr>
            <w:tcW w:w="5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客运周转量（万人公里）</w:t>
            </w:r>
          </w:p>
        </w:tc>
        <w:tc>
          <w:tcPr>
            <w:tcW w:w="1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百公里单耗（吨、立方米、千瓦时</w:t>
            </w:r>
            <w:r>
              <w:rPr>
                <w:rFonts w:asciiTheme="minorEastAsia" w:hAnsiTheme="minorEastAsia" w:eastAsiaTheme="minorEastAsia" w:cstheme="minorBidi"/>
                <w:b/>
                <w:bCs/>
                <w:smallCaps/>
                <w:color w:val="000000" w:themeColor="text1"/>
                <w:spacing w:val="5"/>
                <w:sz w:val="21"/>
                <w:szCs w:val="21"/>
              </w:rPr>
              <w:t>/</w:t>
            </w:r>
            <w:r>
              <w:rPr>
                <w:rFonts w:hint="eastAsia" w:asciiTheme="minorEastAsia" w:hAnsiTheme="minorEastAsia" w:eastAsiaTheme="minorEastAsia" w:cstheme="minorBidi"/>
                <w:b/>
                <w:bCs/>
                <w:smallCaps/>
                <w:color w:val="000000" w:themeColor="text1"/>
                <w:spacing w:val="5"/>
                <w:sz w:val="21"/>
                <w:szCs w:val="21"/>
              </w:rPr>
              <w:t>百公里）</w:t>
            </w:r>
          </w:p>
        </w:tc>
        <w:tc>
          <w:tcPr>
            <w:tcW w:w="415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能源消耗量</w:t>
            </w:r>
          </w:p>
        </w:tc>
        <w:tc>
          <w:tcPr>
            <w:tcW w:w="350" w:type="dxa"/>
            <w:vMerge w:val="restart"/>
            <w:tcBorders>
              <w:top w:val="single" w:color="000000" w:sz="4" w:space="0"/>
              <w:left w:val="single" w:color="000000" w:sz="4" w:space="0"/>
              <w:right w:val="single" w:color="000000" w:sz="4" w:space="0"/>
            </w:tcBorders>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cs="宋体" w:asciiTheme="minorEastAsia" w:hAnsiTheme="minorEastAsia" w:eastAsiaTheme="minorEastAsia"/>
                <w:color w:val="000000"/>
                <w:sz w:val="21"/>
                <w:szCs w:val="21"/>
                <w:lang w:bidi="ar"/>
              </w:rPr>
              <w:t>年度累计碳排放量（吨）</w:t>
            </w:r>
          </w:p>
        </w:tc>
      </w:tr>
      <w:tr>
        <w:tblPrEx>
          <w:tblCellMar>
            <w:top w:w="0" w:type="dxa"/>
            <w:left w:w="108" w:type="dxa"/>
            <w:bottom w:w="0" w:type="dxa"/>
            <w:right w:w="108" w:type="dxa"/>
          </w:tblCellMar>
        </w:tblPrEx>
        <w:trPr>
          <w:trHeight w:val="1709" w:hRule="atLeast"/>
        </w:trPr>
        <w:tc>
          <w:tcPr>
            <w:tcW w:w="4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累计里程</w:t>
            </w: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京内里程</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天津、河北里程</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京津冀外里程</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数据获取方式</w:t>
            </w:r>
          </w:p>
        </w:tc>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数据结果</w:t>
            </w:r>
          </w:p>
        </w:tc>
        <w:tc>
          <w:tcPr>
            <w:tcW w:w="5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数据获取方式</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汽油（吨）</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电（兆瓦时）</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天然气（万立方米）</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柴油（吨）</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车用尿素溶液（吨）</w:t>
            </w:r>
          </w:p>
        </w:tc>
        <w:tc>
          <w:tcPr>
            <w:tcW w:w="5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数据获取方式</w:t>
            </w:r>
          </w:p>
        </w:tc>
        <w:tc>
          <w:tcPr>
            <w:tcW w:w="350" w:type="dxa"/>
            <w:vMerge w:val="continue"/>
            <w:tcBorders>
              <w:left w:val="single" w:color="000000" w:sz="4" w:space="0"/>
              <w:bottom w:val="single" w:color="000000" w:sz="4" w:space="0"/>
              <w:right w:val="single" w:color="000000" w:sz="4" w:space="0"/>
            </w:tcBorders>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asciiTheme="minorEastAsia" w:hAnsiTheme="minorEastAsia" w:eastAsiaTheme="minorEastAsia" w:cstheme="minorBidi"/>
                <w:b/>
                <w:bCs/>
                <w:smallCaps/>
                <w:color w:val="000000" w:themeColor="text1"/>
                <w:spacing w:val="5"/>
                <w:sz w:val="21"/>
                <w:szCs w:val="21"/>
              </w:rPr>
              <w:t>1</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350" w:type="dxa"/>
            <w:tcBorders>
              <w:top w:val="single" w:color="000000" w:sz="4" w:space="0"/>
              <w:left w:val="single" w:color="000000" w:sz="4" w:space="0"/>
              <w:bottom w:val="single" w:color="000000" w:sz="4" w:space="0"/>
              <w:right w:val="single" w:color="000000" w:sz="4" w:space="0"/>
            </w:tcBorders>
          </w:tcPr>
          <w:p>
            <w:pPr>
              <w:spacing w:line="240" w:lineRule="auto"/>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asciiTheme="minorEastAsia" w:hAnsiTheme="minorEastAsia" w:eastAsiaTheme="minorEastAsia" w:cstheme="minorBidi"/>
                <w:b/>
                <w:bCs/>
                <w:smallCaps/>
                <w:color w:val="000000" w:themeColor="text1"/>
                <w:spacing w:val="5"/>
                <w:sz w:val="21"/>
                <w:szCs w:val="21"/>
              </w:rPr>
              <w:t>2</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350" w:type="dxa"/>
            <w:tcBorders>
              <w:top w:val="single" w:color="000000" w:sz="4" w:space="0"/>
              <w:left w:val="single" w:color="000000" w:sz="4" w:space="0"/>
              <w:bottom w:val="single" w:color="000000" w:sz="4" w:space="0"/>
              <w:right w:val="single" w:color="000000" w:sz="4" w:space="0"/>
            </w:tcBorders>
          </w:tcPr>
          <w:p>
            <w:pPr>
              <w:spacing w:line="240" w:lineRule="auto"/>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asciiTheme="minorEastAsia" w:hAnsiTheme="minorEastAsia" w:eastAsiaTheme="minorEastAsia" w:cstheme="minorBidi"/>
                <w:b/>
                <w:bCs/>
                <w:smallCaps/>
                <w:color w:val="000000" w:themeColor="text1"/>
                <w:spacing w:val="5"/>
                <w:sz w:val="21"/>
                <w:szCs w:val="21"/>
              </w:rPr>
              <w:t>3</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350" w:type="dxa"/>
            <w:tcBorders>
              <w:top w:val="single" w:color="000000" w:sz="4" w:space="0"/>
              <w:left w:val="single" w:color="000000" w:sz="4" w:space="0"/>
              <w:bottom w:val="single" w:color="000000" w:sz="4" w:space="0"/>
              <w:right w:val="single" w:color="000000" w:sz="4" w:space="0"/>
            </w:tcBorders>
          </w:tcPr>
          <w:p>
            <w:pPr>
              <w:spacing w:line="240" w:lineRule="auto"/>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合计</w:t>
            </w: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5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7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6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asciiTheme="minorEastAsia" w:hAnsiTheme="minorEastAsia" w:eastAsiaTheme="minorEastAsia" w:cstheme="minorBidi"/>
                <w:b/>
                <w:bCs/>
                <w:smallCaps/>
                <w:color w:val="000000" w:themeColor="text1"/>
                <w:spacing w:val="5"/>
                <w:sz w:val="21"/>
                <w:szCs w:val="21"/>
              </w:rPr>
            </w:pPr>
          </w:p>
        </w:tc>
        <w:tc>
          <w:tcPr>
            <w:tcW w:w="8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5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asciiTheme="minorEastAsia" w:hAnsiTheme="minorEastAsia" w:eastAsiaTheme="minorEastAsia" w:cstheme="minorBidi"/>
                <w:b/>
                <w:bCs/>
                <w:smallCaps/>
                <w:color w:val="000000" w:themeColor="text1"/>
                <w:spacing w:val="5"/>
                <w:sz w:val="21"/>
                <w:szCs w:val="21"/>
              </w:rPr>
            </w:pPr>
          </w:p>
        </w:tc>
        <w:tc>
          <w:tcPr>
            <w:tcW w:w="350" w:type="dxa"/>
            <w:tcBorders>
              <w:top w:val="single" w:color="000000" w:sz="4" w:space="0"/>
              <w:left w:val="single" w:color="000000" w:sz="4" w:space="0"/>
              <w:bottom w:val="single" w:color="000000" w:sz="4" w:space="0"/>
              <w:right w:val="single" w:color="000000" w:sz="4" w:space="0"/>
            </w:tcBorders>
          </w:tcPr>
          <w:p>
            <w:pPr>
              <w:spacing w:line="240" w:lineRule="auto"/>
              <w:rPr>
                <w:rFonts w:asciiTheme="minorEastAsia" w:hAnsiTheme="minorEastAsia" w:eastAsiaTheme="minorEastAsia" w:cstheme="minorBidi"/>
                <w:b/>
                <w:bCs/>
                <w:smallCaps/>
                <w:color w:val="000000" w:themeColor="text1"/>
                <w:spacing w:val="5"/>
                <w:sz w:val="21"/>
                <w:szCs w:val="21"/>
              </w:rPr>
            </w:pPr>
          </w:p>
        </w:tc>
      </w:tr>
    </w:tbl>
    <w:p>
      <w:pPr>
        <w:spacing w:line="240" w:lineRule="auto"/>
        <w:ind w:firstLine="315" w:firstLineChars="150"/>
        <w:rPr>
          <w:rFonts w:ascii="宋体" w:hAnsi="宋体"/>
          <w:bCs/>
          <w:sz w:val="21"/>
          <w:szCs w:val="21"/>
        </w:rPr>
      </w:pPr>
      <w:r>
        <w:rPr>
          <w:rFonts w:hint="eastAsia" w:ascii="宋体" w:hAnsi="宋体"/>
          <w:bCs/>
          <w:sz w:val="21"/>
          <w:szCs w:val="21"/>
        </w:rPr>
        <w:t>核查要求：</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 xml:space="preserve">1.车辆型号：按照车辆的实际品牌及车辆型号填写，如宇通T7; </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2.车辆排放标准：按照车辆实际的排放标准进行填写，，例如国Ⅵ、国Ⅴ；</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3.座位数：按照车辆的实际座位数填写，如7座、15座、30座</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4.车辆数量：填写登记注册在企业名下每种车型及排放标准的车辆保有量;</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5.安装SCR车辆数：填写登记注册在企业名下车辆中安装了SCR设备的车辆保有量</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6.能源类型：填写每种车型及排放标准的车辆对应燃料种类，如柴油、汽油、天然气、电力;</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7.年度累计行驶里程（</w:t>
      </w:r>
      <w:r>
        <w:rPr>
          <w:rFonts w:hint="eastAsia" w:asciiTheme="minorEastAsia" w:hAnsiTheme="minorEastAsia" w:eastAsiaTheme="minorEastAsia"/>
          <w:bCs/>
          <w:sz w:val="21"/>
          <w:szCs w:val="21"/>
        </w:rPr>
        <w:t>万</w:t>
      </w:r>
      <w:r>
        <w:rPr>
          <w:rFonts w:asciiTheme="minorEastAsia" w:hAnsiTheme="minorEastAsia" w:eastAsiaTheme="minorEastAsia"/>
          <w:bCs/>
          <w:sz w:val="21"/>
          <w:szCs w:val="21"/>
        </w:rPr>
        <w:t>公里）：</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1）累计里程：企业旗下车辆单车在全国范围内运行的全部里程合计；</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2）京内里程：企业旗下车辆单车在北京市域范围内运行的全部里程合计；</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3）天津、河北里程：企业旗下车辆单车在天津市及河北省域范围内运行的全部里程合计；</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4）京津冀外里程：企业旗下车辆单车在全国除北京市、天津市、河北省域范围外运行的全部里程合计；</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5）数据获取方式：</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①企业通过自有单车级大数据监控平台获取得到的单车级车辆行驶里程；</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②企业通过对旗下车辆仪表盘进行抄表统计获得的单车级车辆行驶里程；</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③企业通过参考主管部门提供的单车级车辆行驶里程推荐值；</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8.客运量：填报公路运输企业旗下所有车辆在每年度内实际运送的旅客人数（</w:t>
      </w:r>
      <w:r>
        <w:rPr>
          <w:rFonts w:hint="eastAsia" w:asciiTheme="minorEastAsia" w:hAnsiTheme="minorEastAsia" w:eastAsiaTheme="minorEastAsia"/>
          <w:bCs/>
          <w:sz w:val="21"/>
          <w:szCs w:val="21"/>
        </w:rPr>
        <w:t>万</w:t>
      </w:r>
      <w:r>
        <w:rPr>
          <w:rFonts w:asciiTheme="minorEastAsia" w:hAnsiTheme="minorEastAsia" w:eastAsiaTheme="minorEastAsia"/>
          <w:bCs/>
          <w:sz w:val="21"/>
          <w:szCs w:val="21"/>
        </w:rPr>
        <w:t>人次）;</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9.客运周转量：填报公路运输企业旗下所有车辆在每年度内实际运送的旅客运输总量指标（</w:t>
      </w:r>
      <w:r>
        <w:rPr>
          <w:rFonts w:hint="eastAsia" w:asciiTheme="minorEastAsia" w:hAnsiTheme="minorEastAsia" w:eastAsiaTheme="minorEastAsia"/>
          <w:bCs/>
          <w:sz w:val="21"/>
          <w:szCs w:val="21"/>
        </w:rPr>
        <w:t>万</w:t>
      </w:r>
      <w:r>
        <w:rPr>
          <w:rFonts w:asciiTheme="minorEastAsia" w:hAnsiTheme="minorEastAsia" w:eastAsiaTheme="minorEastAsia"/>
          <w:bCs/>
          <w:sz w:val="21"/>
          <w:szCs w:val="21"/>
        </w:rPr>
        <w:t>人公里），基于客运量及平均运距乘积得到；</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10.百公里单耗：</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百公里单耗数据结果：填报企业企业车辆（单车级）在运行单位距离（通常标定为100公里）时产生的能源消耗量，单位主要是：kg/百公里、立方米/百公里、千瓦时/百公里（企业如统计汽油、柴油车辆百公里单耗时统计单位为升时，可按照汽油0.73kg/L,柴油0.86kg/L进行单位换算）</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2）数据获取方式：</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①企业通过自有单车级大数据监控平台获取得到的单车级车辆百公里能耗；</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②企业通过参考主管部门提供的单车级车辆百公里能耗推荐值；</w:t>
      </w:r>
    </w:p>
    <w:p>
      <w:pPr>
        <w:spacing w:line="240" w:lineRule="auto"/>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11.能源消耗量：</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能源消耗量：填报企业旗下车辆因运行而产生的能源消耗总量，按照车辆对应的能源类型，将实际的能源消耗量填写到对应的格内，单位主要是：吨、立方米、千瓦时（企业如统计汽油、柴油时统计单位为升时，可按照汽油0.73kg/L,柴油0.86kg/L进行单位换算）；</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2）数据获取方式：</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①基于单车级的能源消耗量统计手段进行能源消耗统计，一车一卡或一车一个充电账号等手段获取；</w:t>
      </w:r>
    </w:p>
    <w:p>
      <w:pPr>
        <w:spacing w:line="240" w:lineRule="auto"/>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②基于单车级的车辆行驶里程与百公里单耗数据结果计算得到；</w:t>
      </w:r>
    </w:p>
    <w:p>
      <w:pPr>
        <w:ind w:firstLine="315" w:firstLineChars="150"/>
        <w:rPr>
          <w:rFonts w:asciiTheme="minorEastAsia" w:hAnsiTheme="minorEastAsia" w:eastAsiaTheme="minorEastAsia"/>
          <w:bCs/>
          <w:sz w:val="21"/>
          <w:szCs w:val="21"/>
        </w:rPr>
        <w:sectPr>
          <w:footerReference r:id="rId9" w:type="default"/>
          <w:footerReference r:id="rId10" w:type="even"/>
          <w:pgSz w:w="16838" w:h="11906" w:orient="landscape"/>
          <w:pgMar w:top="1587" w:right="1440" w:bottom="1474" w:left="1440" w:header="851" w:footer="1134" w:gutter="0"/>
          <w:paperSrc/>
          <w:pgNumType w:fmt="decimal"/>
          <w:cols w:space="0" w:num="1"/>
          <w:rtlGutter w:val="0"/>
          <w:docGrid w:linePitch="326" w:charSpace="0"/>
        </w:sectPr>
      </w:pPr>
      <w:r>
        <w:rPr>
          <w:rFonts w:asciiTheme="minorEastAsia" w:hAnsiTheme="minorEastAsia" w:eastAsiaTheme="minorEastAsia"/>
          <w:bCs/>
          <w:sz w:val="21"/>
          <w:szCs w:val="21"/>
        </w:rPr>
        <w:t>12.</w:t>
      </w:r>
      <w:r>
        <w:rPr>
          <w:rFonts w:hint="eastAsia" w:asciiTheme="minorEastAsia" w:hAnsiTheme="minorEastAsia" w:eastAsiaTheme="minorEastAsia"/>
          <w:bCs/>
          <w:sz w:val="21"/>
          <w:szCs w:val="21"/>
        </w:rPr>
        <w:t>年度</w:t>
      </w:r>
      <w:r>
        <w:rPr>
          <w:rFonts w:asciiTheme="minorEastAsia" w:hAnsiTheme="minorEastAsia" w:eastAsiaTheme="minorEastAsia"/>
          <w:bCs/>
          <w:sz w:val="21"/>
          <w:szCs w:val="21"/>
        </w:rPr>
        <w:t>累计碳排放量：由统计得到的车辆运行能耗及每种能源类型对应的碳排放因子转换系数计算得到</w:t>
      </w:r>
      <w:r>
        <w:rPr>
          <w:rFonts w:hint="eastAsia" w:asciiTheme="minorEastAsia" w:hAnsiTheme="minorEastAsia" w:eastAsiaTheme="minorEastAsia"/>
          <w:bCs/>
          <w:sz w:val="21"/>
          <w:szCs w:val="21"/>
        </w:rPr>
        <w:t>。</w:t>
      </w:r>
    </w:p>
    <w:p>
      <w:pPr>
        <w:ind w:firstLine="480" w:firstLineChars="150"/>
        <w:jc w:val="center"/>
        <w:rPr>
          <w:rFonts w:ascii="黑体" w:hAnsi="黑体" w:eastAsia="黑体"/>
          <w:bCs/>
          <w:sz w:val="32"/>
          <w:szCs w:val="28"/>
        </w:rPr>
      </w:pPr>
      <w:r>
        <w:rPr>
          <w:rFonts w:hint="eastAsia" w:ascii="黑体" w:hAnsi="黑体" w:eastAsia="黑体"/>
          <w:bCs/>
          <w:sz w:val="32"/>
          <w:szCs w:val="28"/>
        </w:rPr>
        <w:t>道路货物运输企业补充数据表</w:t>
      </w:r>
    </w:p>
    <w:tbl>
      <w:tblPr>
        <w:tblStyle w:val="35"/>
        <w:tblW w:w="0" w:type="auto"/>
        <w:tblInd w:w="98" w:type="dxa"/>
        <w:tblLayout w:type="autofit"/>
        <w:tblCellMar>
          <w:top w:w="0" w:type="dxa"/>
          <w:left w:w="108" w:type="dxa"/>
          <w:bottom w:w="0" w:type="dxa"/>
          <w:right w:w="108" w:type="dxa"/>
        </w:tblCellMar>
      </w:tblPr>
      <w:tblGrid>
        <w:gridCol w:w="556"/>
        <w:gridCol w:w="897"/>
        <w:gridCol w:w="727"/>
        <w:gridCol w:w="1237"/>
        <w:gridCol w:w="727"/>
        <w:gridCol w:w="471"/>
        <w:gridCol w:w="897"/>
        <w:gridCol w:w="386"/>
        <w:gridCol w:w="386"/>
        <w:gridCol w:w="556"/>
        <w:gridCol w:w="386"/>
        <w:gridCol w:w="386"/>
        <w:gridCol w:w="727"/>
        <w:gridCol w:w="556"/>
        <w:gridCol w:w="386"/>
        <w:gridCol w:w="386"/>
        <w:gridCol w:w="727"/>
        <w:gridCol w:w="556"/>
        <w:gridCol w:w="556"/>
        <w:gridCol w:w="727"/>
        <w:gridCol w:w="728"/>
        <w:gridCol w:w="387"/>
        <w:gridCol w:w="728"/>
      </w:tblGrid>
      <w:tr>
        <w:tblPrEx>
          <w:tblCellMar>
            <w:top w:w="0" w:type="dxa"/>
            <w:left w:w="108" w:type="dxa"/>
            <w:bottom w:w="0" w:type="dxa"/>
            <w:right w:w="108" w:type="dxa"/>
          </w:tblCellMar>
        </w:tblPrEx>
        <w:trPr>
          <w:trHeight w:val="93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车辆型号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总质量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车辆排放标准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车辆数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安装</w:t>
            </w:r>
            <w:r>
              <w:rPr>
                <w:rFonts w:cs="等线" w:asciiTheme="minorEastAsia" w:hAnsiTheme="minorEastAsia" w:eastAsiaTheme="minorEastAsia"/>
                <w:color w:val="000000"/>
                <w:sz w:val="21"/>
                <w:szCs w:val="21"/>
                <w:lang w:bidi="ar"/>
              </w:rPr>
              <w:t>SCR车辆</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能源类型</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年度累计行驶里程（万公里）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货运量（吨）</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货运周转量（万吨公里）</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百公里单耗</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lang w:bidi="ar"/>
              </w:rPr>
            </w:pPr>
            <w:r>
              <w:rPr>
                <w:rFonts w:hint="eastAsia" w:cs="等线" w:asciiTheme="minorEastAsia" w:hAnsiTheme="minorEastAsia" w:eastAsiaTheme="minorEastAsia"/>
                <w:color w:val="000000"/>
                <w:sz w:val="21"/>
                <w:szCs w:val="21"/>
                <w:lang w:bidi="ar"/>
              </w:rPr>
              <w:t>能源消耗量</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宋体" w:asciiTheme="minorEastAsia" w:hAnsiTheme="minorEastAsia" w:eastAsiaTheme="minorEastAsia"/>
                <w:color w:val="000000"/>
                <w:sz w:val="21"/>
                <w:szCs w:val="21"/>
              </w:rPr>
            </w:pPr>
            <w:r>
              <w:rPr>
                <w:rFonts w:hint="eastAsia" w:cs="宋体" w:asciiTheme="minorEastAsia" w:hAnsiTheme="minorEastAsia" w:eastAsiaTheme="minorEastAsia"/>
                <w:color w:val="000000"/>
                <w:sz w:val="21"/>
                <w:szCs w:val="21"/>
                <w:lang w:bidi="ar"/>
              </w:rPr>
              <w:t>年度累计碳排放量（吨）</w:t>
            </w:r>
          </w:p>
        </w:tc>
      </w:tr>
      <w:tr>
        <w:tblPrEx>
          <w:tblCellMar>
            <w:top w:w="0" w:type="dxa"/>
            <w:left w:w="108" w:type="dxa"/>
            <w:bottom w:w="0" w:type="dxa"/>
            <w:right w:w="108" w:type="dxa"/>
          </w:tblCellMar>
        </w:tblPrEx>
        <w:trPr>
          <w:trHeight w:val="1709"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cs="等线" w:asciiTheme="minorEastAsia" w:hAnsiTheme="minorEastAsia" w:eastAsiaTheme="minorEastAsia"/>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累计里程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京内里程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天津、河北里程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京津冀外里程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数据获取方式</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cs="等线" w:asciiTheme="minorEastAsia" w:hAnsiTheme="minorEastAsia" w:eastAsiaTheme="minorEastAsia"/>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数据结果</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数据获取方式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汽油（吨）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电（兆瓦时）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天然气（万立方米）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柴油（吨）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textAlignment w:val="center"/>
              <w:rPr>
                <w:rFonts w:cs="等线" w:asciiTheme="minorEastAsia" w:hAnsiTheme="minorEastAsia" w:eastAsiaTheme="minorEastAsia"/>
                <w:color w:val="000000"/>
                <w:sz w:val="21"/>
                <w:szCs w:val="21"/>
                <w:lang w:bidi="ar"/>
              </w:rPr>
            </w:pPr>
            <w:r>
              <w:rPr>
                <w:rFonts w:hint="eastAsia" w:cs="宋体" w:asciiTheme="minorEastAsia" w:hAnsiTheme="minorEastAsia" w:eastAsiaTheme="minorEastAsia"/>
                <w:color w:val="000000"/>
                <w:sz w:val="21"/>
                <w:szCs w:val="21"/>
                <w:lang w:bidi="ar"/>
              </w:rPr>
              <w:t>车用尿素溶液（吨）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textAlignment w:val="center"/>
              <w:rPr>
                <w:rFonts w:cs="宋体" w:asciiTheme="minorEastAsia" w:hAnsiTheme="minorEastAsia" w:eastAsiaTheme="minorEastAsia"/>
                <w:color w:val="000000"/>
                <w:sz w:val="21"/>
                <w:szCs w:val="21"/>
              </w:rPr>
            </w:pPr>
            <w:r>
              <w:rPr>
                <w:rFonts w:hint="eastAsia" w:cs="宋体" w:asciiTheme="minorEastAsia" w:hAnsiTheme="minorEastAsia" w:eastAsiaTheme="minorEastAsia"/>
                <w:color w:val="000000"/>
                <w:sz w:val="21"/>
                <w:szCs w:val="21"/>
                <w:lang w:bidi="ar"/>
              </w:rPr>
              <w:t>数据获取方式</w:t>
            </w: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cs="等线" w:asciiTheme="minorEastAsia" w:hAnsiTheme="minorEastAsia" w:eastAsiaTheme="minorEastAsia"/>
                <w:color w:val="000000"/>
                <w:sz w:val="21"/>
                <w:szCs w:val="21"/>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cs="等线" w:asciiTheme="minorEastAsia" w:hAnsiTheme="minorEastAsia" w:eastAsiaTheme="minorEastAsia"/>
                <w:color w:val="000000"/>
                <w:sz w:val="21"/>
                <w:szCs w:val="21"/>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cs="等线" w:asciiTheme="minorEastAsia" w:hAnsiTheme="minorEastAsia" w:eastAsiaTheme="minorEastAsia"/>
                <w:color w:val="000000"/>
                <w:sz w:val="21"/>
                <w:szCs w:val="21"/>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sz w:val="21"/>
                <w:szCs w:val="21"/>
                <w:lang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jc w:val="center"/>
              <w:rPr>
                <w:rFonts w:cs="等线" w:asciiTheme="minorEastAsia" w:hAnsiTheme="minorEastAsia" w:eastAsiaTheme="minorEastAsia"/>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rPr>
                <w:rFonts w:cs="宋体" w:asciiTheme="minorEastAsia" w:hAnsiTheme="minorEastAsia" w:eastAsiaTheme="minorEastAsia"/>
                <w:color w:val="000000"/>
                <w:sz w:val="21"/>
                <w:szCs w:val="21"/>
              </w:rPr>
            </w:pPr>
          </w:p>
        </w:tc>
      </w:tr>
    </w:tbl>
    <w:p>
      <w:pPr>
        <w:spacing w:line="240" w:lineRule="auto"/>
        <w:ind w:firstLine="315" w:firstLineChars="150"/>
        <w:rPr>
          <w:rFonts w:ascii="宋体" w:hAnsi="宋体"/>
          <w:bCs/>
          <w:sz w:val="21"/>
          <w:szCs w:val="21"/>
        </w:rPr>
      </w:pPr>
      <w:r>
        <w:rPr>
          <w:rFonts w:hint="eastAsia" w:ascii="宋体" w:hAnsi="宋体"/>
          <w:bCs/>
          <w:sz w:val="21"/>
          <w:szCs w:val="21"/>
        </w:rPr>
        <w:t>核查要求：</w:t>
      </w:r>
    </w:p>
    <w:p>
      <w:pPr>
        <w:ind w:firstLine="315" w:firstLineChars="150"/>
        <w:rPr>
          <w:rFonts w:ascii="宋体" w:hAnsi="宋体"/>
          <w:bCs/>
          <w:sz w:val="21"/>
          <w:szCs w:val="21"/>
        </w:rPr>
      </w:pPr>
      <w:r>
        <w:rPr>
          <w:rFonts w:asciiTheme="minorEastAsia" w:hAnsiTheme="minorEastAsia" w:eastAsiaTheme="minorEastAsia"/>
          <w:bCs/>
          <w:sz w:val="21"/>
          <w:szCs w:val="21"/>
        </w:rPr>
        <w:t>1.车辆型</w:t>
      </w:r>
      <w:r>
        <w:rPr>
          <w:rFonts w:ascii="宋体" w:hAnsi="宋体"/>
          <w:bCs/>
          <w:sz w:val="21"/>
          <w:szCs w:val="21"/>
        </w:rPr>
        <w:t xml:space="preserve">号：按照车辆的实际品牌及车辆型号填写，如宇通T7; </w:t>
      </w:r>
    </w:p>
    <w:p>
      <w:pPr>
        <w:ind w:firstLine="315" w:firstLineChars="150"/>
        <w:rPr>
          <w:rFonts w:ascii="宋体" w:hAnsi="宋体"/>
          <w:bCs/>
          <w:sz w:val="21"/>
          <w:szCs w:val="21"/>
        </w:rPr>
      </w:pPr>
      <w:r>
        <w:rPr>
          <w:rFonts w:ascii="宋体" w:hAnsi="宋体"/>
          <w:bCs/>
          <w:sz w:val="21"/>
          <w:szCs w:val="21"/>
        </w:rPr>
        <w:t>2.车辆排放标准：按照车辆实际的排放标准进行填写，，例如国Ⅵ、国Ⅴ；</w:t>
      </w:r>
    </w:p>
    <w:p>
      <w:pPr>
        <w:ind w:firstLine="315" w:firstLineChars="150"/>
        <w:rPr>
          <w:rFonts w:ascii="宋体" w:hAnsi="宋体"/>
          <w:bCs/>
          <w:sz w:val="21"/>
          <w:szCs w:val="21"/>
        </w:rPr>
      </w:pPr>
      <w:r>
        <w:rPr>
          <w:rFonts w:ascii="宋体" w:hAnsi="宋体"/>
          <w:bCs/>
          <w:sz w:val="21"/>
          <w:szCs w:val="21"/>
        </w:rPr>
        <w:t>3.总质量：按照车辆的实际总质量填写，如4.49吨、18吨、35吨</w:t>
      </w:r>
    </w:p>
    <w:p>
      <w:pPr>
        <w:ind w:firstLine="315" w:firstLineChars="150"/>
        <w:rPr>
          <w:rFonts w:ascii="宋体" w:hAnsi="宋体"/>
          <w:bCs/>
          <w:sz w:val="21"/>
          <w:szCs w:val="21"/>
        </w:rPr>
      </w:pPr>
      <w:r>
        <w:rPr>
          <w:rFonts w:ascii="宋体" w:hAnsi="宋体"/>
          <w:bCs/>
          <w:sz w:val="21"/>
          <w:szCs w:val="21"/>
        </w:rPr>
        <w:t>4.车辆数量：填写登记注册在企业名下每种车型及排放标准的车辆保有量;</w:t>
      </w:r>
    </w:p>
    <w:p>
      <w:pPr>
        <w:ind w:firstLine="315" w:firstLineChars="150"/>
        <w:rPr>
          <w:rFonts w:ascii="宋体" w:hAnsi="宋体"/>
          <w:bCs/>
          <w:sz w:val="21"/>
          <w:szCs w:val="21"/>
        </w:rPr>
      </w:pPr>
      <w:r>
        <w:rPr>
          <w:rFonts w:ascii="宋体" w:hAnsi="宋体"/>
          <w:bCs/>
          <w:sz w:val="21"/>
          <w:szCs w:val="21"/>
        </w:rPr>
        <w:t>5.安装SCR车辆数：填写登记注册在企业名下车辆中安装了SCR设备的车辆保有量</w:t>
      </w:r>
    </w:p>
    <w:p>
      <w:pPr>
        <w:ind w:firstLine="315" w:firstLineChars="150"/>
        <w:rPr>
          <w:rFonts w:ascii="宋体" w:hAnsi="宋体"/>
          <w:bCs/>
          <w:sz w:val="21"/>
          <w:szCs w:val="21"/>
        </w:rPr>
      </w:pPr>
      <w:r>
        <w:rPr>
          <w:rFonts w:ascii="宋体" w:hAnsi="宋体"/>
          <w:bCs/>
          <w:sz w:val="21"/>
          <w:szCs w:val="21"/>
        </w:rPr>
        <w:t>6.能源类型：填写每种车型及排放标准的车辆对应燃料种类，如柴油、汽油、天然气、电力;</w:t>
      </w:r>
    </w:p>
    <w:p>
      <w:pPr>
        <w:ind w:firstLine="315" w:firstLineChars="150"/>
        <w:rPr>
          <w:rFonts w:ascii="宋体" w:hAnsi="宋体"/>
          <w:bCs/>
          <w:sz w:val="21"/>
          <w:szCs w:val="21"/>
        </w:rPr>
      </w:pPr>
      <w:r>
        <w:rPr>
          <w:rFonts w:ascii="宋体" w:hAnsi="宋体"/>
          <w:bCs/>
          <w:sz w:val="21"/>
          <w:szCs w:val="21"/>
        </w:rPr>
        <w:t>7.年度累计行驶里程（公里）：</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1）累计里程：企业旗下车辆单车在全国范围内运行的全部里程合计；</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2）京内里程：企业旗下车辆单车在北京市域范围内运行的全部里程合计；</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3）天津、河北里程：企业旗下车辆单车在天津市及河北省域范围内运行的全部里程合计；</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4）京津冀外里程：企业旗下车辆单车在全国除北京市、天津市、河北省域范围外运行的全部里程合计；</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5）数据获取方式：</w:t>
      </w:r>
    </w:p>
    <w:p>
      <w:pPr>
        <w:ind w:firstLine="315" w:firstLineChars="150"/>
        <w:rPr>
          <w:rFonts w:ascii="宋体" w:hAnsi="宋体"/>
          <w:bCs/>
          <w:sz w:val="21"/>
          <w:szCs w:val="21"/>
        </w:rPr>
      </w:pPr>
      <w:r>
        <w:rPr>
          <w:rFonts w:hint="eastAsia" w:ascii="宋体" w:hAnsi="宋体"/>
          <w:bCs/>
          <w:sz w:val="21"/>
          <w:szCs w:val="21"/>
        </w:rPr>
        <w:t>①企业通过自有单车级大数据监控平台获取得到的单车级车辆行驶里程；</w:t>
      </w:r>
    </w:p>
    <w:p>
      <w:pPr>
        <w:ind w:firstLine="315" w:firstLineChars="150"/>
        <w:rPr>
          <w:rFonts w:ascii="宋体" w:hAnsi="宋体"/>
          <w:bCs/>
          <w:sz w:val="21"/>
          <w:szCs w:val="21"/>
        </w:rPr>
      </w:pPr>
      <w:r>
        <w:rPr>
          <w:rFonts w:hint="eastAsia" w:ascii="宋体" w:hAnsi="宋体"/>
          <w:bCs/>
          <w:sz w:val="21"/>
          <w:szCs w:val="21"/>
        </w:rPr>
        <w:t>②企业通过对旗下车辆仪表盘进行抄表统计获得的单车级车辆行驶里程；</w:t>
      </w:r>
    </w:p>
    <w:p>
      <w:pPr>
        <w:ind w:firstLine="315" w:firstLineChars="150"/>
        <w:rPr>
          <w:rFonts w:ascii="宋体" w:hAnsi="宋体"/>
          <w:bCs/>
          <w:sz w:val="21"/>
          <w:szCs w:val="21"/>
        </w:rPr>
      </w:pPr>
      <w:r>
        <w:rPr>
          <w:rFonts w:ascii="宋体" w:hAnsi="宋体"/>
          <w:bCs/>
          <w:sz w:val="21"/>
          <w:szCs w:val="21"/>
        </w:rPr>
        <w:t>8.货运量：填报公路运输企业旗下所有车辆在每年度内实际运送的货物运输总量（吨）;</w:t>
      </w:r>
    </w:p>
    <w:p>
      <w:pPr>
        <w:ind w:firstLine="315" w:firstLineChars="150"/>
        <w:rPr>
          <w:rFonts w:ascii="宋体" w:hAnsi="宋体"/>
          <w:bCs/>
          <w:sz w:val="21"/>
          <w:szCs w:val="21"/>
        </w:rPr>
      </w:pPr>
      <w:r>
        <w:rPr>
          <w:rFonts w:ascii="宋体" w:hAnsi="宋体"/>
          <w:bCs/>
          <w:sz w:val="21"/>
          <w:szCs w:val="21"/>
        </w:rPr>
        <w:t>9.货运周转量：填报公路运输企业旗下所有车辆在每年度内实际运送的货物运输总量指标（吨公里），基于货运量及平均运距乘积得到；</w:t>
      </w:r>
    </w:p>
    <w:p>
      <w:pPr>
        <w:ind w:firstLine="315" w:firstLineChars="150"/>
        <w:rPr>
          <w:rFonts w:ascii="宋体" w:hAnsi="宋体"/>
          <w:bCs/>
          <w:sz w:val="21"/>
          <w:szCs w:val="21"/>
        </w:rPr>
      </w:pPr>
      <w:r>
        <w:rPr>
          <w:rFonts w:ascii="宋体" w:hAnsi="宋体"/>
          <w:bCs/>
          <w:sz w:val="21"/>
          <w:szCs w:val="21"/>
        </w:rPr>
        <w:t>10.百公里单耗：</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1）百公里单耗数据结果：填报企业企业车辆（单车级）在运行单位距离（通常标定为100公里）时产生的能源消耗量，单位主要是：kg/百公里、立方米/百公里、千瓦时/百公里（企业如统计汽油、柴油车辆百公里单耗时统计单位为升时，可按照汽油0.73kg/L,柴油0.86kg/L进行单位换算）</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2）数据获取方式：</w:t>
      </w:r>
    </w:p>
    <w:p>
      <w:pPr>
        <w:ind w:firstLine="315" w:firstLineChars="150"/>
        <w:rPr>
          <w:rFonts w:ascii="宋体" w:hAnsi="宋体"/>
          <w:bCs/>
          <w:sz w:val="21"/>
          <w:szCs w:val="21"/>
        </w:rPr>
      </w:pPr>
      <w:r>
        <w:rPr>
          <w:rFonts w:hint="eastAsia" w:ascii="宋体" w:hAnsi="宋体"/>
          <w:bCs/>
          <w:sz w:val="21"/>
          <w:szCs w:val="21"/>
        </w:rPr>
        <w:t>①企业通过自有单车级大数据监控平台获取得到的单车级车辆百公里能耗；</w:t>
      </w:r>
    </w:p>
    <w:p>
      <w:pPr>
        <w:ind w:firstLine="315" w:firstLineChars="150"/>
        <w:rPr>
          <w:rFonts w:ascii="宋体" w:hAnsi="宋体"/>
          <w:bCs/>
          <w:sz w:val="21"/>
          <w:szCs w:val="21"/>
        </w:rPr>
      </w:pPr>
      <w:r>
        <w:rPr>
          <w:rFonts w:ascii="宋体" w:hAnsi="宋体"/>
          <w:bCs/>
          <w:sz w:val="21"/>
          <w:szCs w:val="21"/>
        </w:rPr>
        <w:t>11.能源消耗量：</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1）能源消耗量：填报企业旗下车辆因运行而产生的能源消耗总量，按照车辆对应的能源类型，将实际的能源消耗量填写到对应的格内，单位主要是：吨、立方米、千瓦时（企业如统计汽油、柴油时统计单位为升时，可按照汽油0.73kg/L,柴油0.86kg/L进行单位换算）；</w:t>
      </w:r>
    </w:p>
    <w:p>
      <w:pPr>
        <w:ind w:firstLine="315" w:firstLineChars="150"/>
        <w:rPr>
          <w:rFonts w:ascii="宋体" w:hAnsi="宋体"/>
          <w:bCs/>
          <w:sz w:val="21"/>
          <w:szCs w:val="21"/>
        </w:rPr>
      </w:pPr>
      <w:r>
        <w:rPr>
          <w:rFonts w:hint="eastAsia" w:ascii="宋体" w:hAnsi="宋体"/>
          <w:bCs/>
          <w:sz w:val="21"/>
          <w:szCs w:val="21"/>
        </w:rPr>
        <w:t>（</w:t>
      </w:r>
      <w:r>
        <w:rPr>
          <w:rFonts w:ascii="宋体" w:hAnsi="宋体"/>
          <w:bCs/>
          <w:sz w:val="21"/>
          <w:szCs w:val="21"/>
        </w:rPr>
        <w:t>2）数据获取方式：</w:t>
      </w:r>
    </w:p>
    <w:p>
      <w:pPr>
        <w:ind w:firstLine="315" w:firstLineChars="150"/>
        <w:rPr>
          <w:rFonts w:ascii="宋体" w:hAnsi="宋体"/>
          <w:bCs/>
          <w:sz w:val="21"/>
          <w:szCs w:val="21"/>
        </w:rPr>
      </w:pPr>
      <w:r>
        <w:rPr>
          <w:rFonts w:hint="eastAsia" w:ascii="宋体" w:hAnsi="宋体"/>
          <w:bCs/>
          <w:sz w:val="21"/>
          <w:szCs w:val="21"/>
        </w:rPr>
        <w:t>①基于单车级的能源消耗量统计手段进行能源消耗统计，一车一卡或一车一个充电账号等手段获取；</w:t>
      </w:r>
    </w:p>
    <w:p>
      <w:pPr>
        <w:ind w:firstLine="315" w:firstLineChars="150"/>
        <w:rPr>
          <w:rFonts w:ascii="宋体" w:hAnsi="宋体"/>
          <w:bCs/>
          <w:sz w:val="21"/>
          <w:szCs w:val="21"/>
        </w:rPr>
      </w:pPr>
      <w:r>
        <w:rPr>
          <w:rFonts w:hint="eastAsia" w:ascii="宋体" w:hAnsi="宋体"/>
          <w:bCs/>
          <w:sz w:val="21"/>
          <w:szCs w:val="21"/>
        </w:rPr>
        <w:t>②基于单车级的车辆行驶里程与百公里单耗数据结果计算得到；</w:t>
      </w:r>
    </w:p>
    <w:p>
      <w:pPr>
        <w:spacing w:after="0" w:line="560" w:lineRule="exact"/>
        <w:rPr>
          <w:rFonts w:ascii="仿宋_GB2312" w:hAnsi="仿宋" w:eastAsia="仿宋_GB2312"/>
          <w:b/>
          <w:sz w:val="32"/>
          <w:szCs w:val="32"/>
        </w:rPr>
      </w:pPr>
      <w:r>
        <w:rPr>
          <w:rFonts w:ascii="宋体" w:hAnsi="宋体"/>
          <w:bCs/>
          <w:sz w:val="21"/>
          <w:szCs w:val="21"/>
        </w:rPr>
        <w:t>12.</w:t>
      </w:r>
      <w:r>
        <w:rPr>
          <w:rFonts w:hint="eastAsia" w:ascii="宋体" w:hAnsi="宋体"/>
          <w:bCs/>
          <w:sz w:val="21"/>
          <w:szCs w:val="21"/>
        </w:rPr>
        <w:t>年度</w:t>
      </w:r>
      <w:r>
        <w:rPr>
          <w:rFonts w:ascii="宋体" w:hAnsi="宋体"/>
          <w:bCs/>
          <w:sz w:val="21"/>
          <w:szCs w:val="21"/>
        </w:rPr>
        <w:t>累计碳排放量：由统计得到的车辆运行能耗及每种能源类型对应的碳排放因子转换系数计算得到</w:t>
      </w:r>
      <w:r>
        <w:rPr>
          <w:rFonts w:hint="eastAsia"/>
          <w:bCs/>
          <w:sz w:val="21"/>
          <w:szCs w:val="21"/>
        </w:rPr>
        <w:t>。</w:t>
      </w:r>
    </w:p>
    <w:p>
      <w:pPr>
        <w:spacing w:after="0" w:line="560" w:lineRule="exact"/>
        <w:ind w:firstLine="660"/>
        <w:rPr>
          <w:rFonts w:ascii="仿宋_GB2312" w:hAnsi="仿宋" w:eastAsia="仿宋_GB2312"/>
          <w:b/>
          <w:sz w:val="32"/>
          <w:szCs w:val="32"/>
        </w:rPr>
        <w:sectPr>
          <w:footerReference r:id="rId11" w:type="default"/>
          <w:footerReference r:id="rId12" w:type="even"/>
          <w:pgSz w:w="16838" w:h="11906" w:orient="landscape"/>
          <w:pgMar w:top="1587" w:right="1440" w:bottom="1474" w:left="1440" w:header="851" w:footer="1134" w:gutter="0"/>
          <w:paperSrc/>
          <w:pgNumType w:fmt="decimal"/>
          <w:cols w:space="0" w:num="1"/>
          <w:rtlGutter w:val="0"/>
          <w:docGrid w:type="lines" w:linePitch="312" w:charSpace="0"/>
        </w:sectPr>
      </w:pPr>
    </w:p>
    <w:p>
      <w:pPr>
        <w:spacing w:after="0" w:line="560" w:lineRule="exact"/>
        <w:ind w:firstLine="660"/>
        <w:rPr>
          <w:rFonts w:ascii="仿宋_GB2312" w:hAnsi="仿宋" w:eastAsia="仿宋_GB2312"/>
          <w:b/>
          <w:sz w:val="32"/>
          <w:szCs w:val="32"/>
        </w:rPr>
      </w:pPr>
      <w:r>
        <w:rPr>
          <w:rFonts w:hint="eastAsia" w:ascii="仿宋_GB2312" w:hAnsi="仿宋" w:eastAsia="仿宋_GB2312"/>
          <w:b/>
          <w:sz w:val="32"/>
          <w:szCs w:val="32"/>
        </w:rPr>
        <w:t>3.3.2.4实时监测数据的符合性</w:t>
      </w:r>
    </w:p>
    <w:p>
      <w:pPr>
        <w:spacing w:after="0" w:line="560" w:lineRule="exact"/>
        <w:ind w:firstLine="640" w:firstLineChars="200"/>
        <w:jc w:val="both"/>
        <w:rPr>
          <w:rFonts w:ascii="仿宋_GB2312" w:hAnsi="仿宋" w:eastAsia="仿宋_GB2312"/>
          <w:color w:val="000000"/>
          <w:sz w:val="32"/>
          <w:szCs w:val="32"/>
        </w:rPr>
      </w:pPr>
      <w:r>
        <w:rPr>
          <w:rFonts w:hint="eastAsia" w:ascii="仿宋_GB2312" w:hAnsi="仿宋" w:eastAsia="仿宋_GB2312"/>
          <w:color w:val="000000"/>
          <w:sz w:val="32"/>
          <w:szCs w:val="32"/>
        </w:rPr>
        <w:t>如重点碳排放单位装有实时监测系统，核查机构应报告实时测量设备是否经过校准，是否通过与物料平衡或排放因子计算结果的对比佐证测量结果的不确定性。</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核查机构应对上述每一个数据的核查发现进行报告，并简要描述不符合(如有),详细描述及纠正措施链接核查报告附件1。</w:t>
      </w:r>
    </w:p>
    <w:p>
      <w:pPr>
        <w:spacing w:after="0" w:line="560" w:lineRule="exact"/>
        <w:ind w:firstLine="768" w:firstLineChars="239"/>
        <w:outlineLvl w:val="0"/>
        <w:rPr>
          <w:rFonts w:ascii="仿宋_GB2312" w:hAnsi="仿宋" w:eastAsia="仿宋_GB2312"/>
          <w:b/>
          <w:sz w:val="32"/>
          <w:szCs w:val="32"/>
        </w:rPr>
      </w:pPr>
      <w:r>
        <w:rPr>
          <w:rFonts w:hint="eastAsia" w:ascii="仿宋_GB2312" w:hAnsi="仿宋" w:eastAsia="仿宋_GB2312"/>
          <w:b/>
          <w:sz w:val="32"/>
          <w:szCs w:val="32"/>
        </w:rPr>
        <w:t>B)核查方法</w:t>
      </w:r>
    </w:p>
    <w:p>
      <w:pPr>
        <w:spacing w:after="0" w:line="560" w:lineRule="exact"/>
        <w:jc w:val="both"/>
        <w:rPr>
          <w:rFonts w:ascii="仿宋_GB2312" w:hAnsi="仿宋" w:eastAsia="仿宋_GB2312"/>
          <w:sz w:val="32"/>
          <w:szCs w:val="32"/>
        </w:rPr>
      </w:pPr>
      <w:r>
        <w:rPr>
          <w:rFonts w:hint="eastAsia" w:ascii="仿宋_GB2312" w:hAnsi="仿宋" w:eastAsia="仿宋_GB2312"/>
          <w:sz w:val="32"/>
          <w:szCs w:val="32"/>
        </w:rPr>
        <w:t>核查机构应关注适用的地方标准或核算和报告指南中对于重点碳排放单位排放对数据要求的区别。核查可采用如下方法：</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查阅燃料购买合同；</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查阅能源台帐、重点设备的能源消耗记录；</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查阅年度能源审计报告、能流图、能源消费量表、能源加工转换报表；</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查阅月度生产报表、企业台帐如水泥、催化剂烧焦、制氢、环氧乙烷、醋酸乙烷等的生产记录；</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查阅主要产品能源消耗指标、经济指标核算基础数据表、能耗经济指标一览表；</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查阅IPCC及省级温室气体清单；</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查阅与电网公司的结算单或购售电发票（包括固定设施及移动设施）；</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查阅供应商发票；</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查阅年度环境监测报告；</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查阅供热协议及发票；</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查阅废弃物处理协议；</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查阅氧化率、热值以及产品或燃料化学分析报告;</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访问温室气体管理人员、燃料采购人员等;</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查阅移动源加油记录、燃料购买记录及尾气净化剂添加记录；</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道路运输企业查阅固定设施及移动设施电力消耗记录及统计台账（报表）；</w:t>
      </w:r>
    </w:p>
    <w:p>
      <w:pPr>
        <w:widowControl w:val="0"/>
        <w:numPr>
          <w:ilvl w:val="0"/>
          <w:numId w:val="13"/>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观察实施监测的运行以及测量设备的校准、检定；</w:t>
      </w:r>
    </w:p>
    <w:p>
      <w:pPr>
        <w:widowControl w:val="0"/>
        <w:numPr>
          <w:ilvl w:val="0"/>
          <w:numId w:val="13"/>
        </w:numPr>
        <w:spacing w:after="0" w:line="560" w:lineRule="exact"/>
        <w:jc w:val="both"/>
        <w:rPr>
          <w:rFonts w:ascii="仿宋_GB2312" w:hAnsi="仿宋" w:eastAsia="仿宋_GB2312"/>
          <w:sz w:val="32"/>
          <w:szCs w:val="32"/>
        </w:rPr>
      </w:pPr>
      <w:r>
        <w:rPr>
          <w:rFonts w:ascii="仿宋_GB2312" w:hAnsi="仿宋" w:eastAsia="仿宋_GB2312"/>
          <w:sz w:val="32"/>
          <w:szCs w:val="32"/>
        </w:rPr>
        <w:t>查看或确认核查过程中涉及的其它可用的证据</w:t>
      </w:r>
      <w:r>
        <w:rPr>
          <w:rFonts w:hint="eastAsia" w:ascii="仿宋_GB2312" w:hAnsi="仿宋" w:eastAsia="仿宋_GB2312"/>
          <w:sz w:val="32"/>
          <w:szCs w:val="32"/>
        </w:rPr>
        <w:t>。</w:t>
      </w:r>
    </w:p>
    <w:p>
      <w:pPr>
        <w:spacing w:after="0" w:line="560" w:lineRule="exact"/>
        <w:ind w:firstLine="880" w:firstLineChars="274"/>
        <w:rPr>
          <w:rFonts w:ascii="仿宋_GB2312" w:hAnsi="仿宋" w:eastAsia="仿宋_GB2312"/>
          <w:b/>
          <w:sz w:val="32"/>
          <w:szCs w:val="32"/>
        </w:rPr>
      </w:pPr>
      <w:r>
        <w:rPr>
          <w:rFonts w:hint="eastAsia" w:ascii="仿宋_GB2312" w:hAnsi="仿宋" w:eastAsia="仿宋_GB2312"/>
          <w:b/>
          <w:sz w:val="32"/>
          <w:szCs w:val="32"/>
        </w:rPr>
        <w:t>3.4 测量设备校准的符合性</w:t>
      </w:r>
    </w:p>
    <w:p>
      <w:pPr>
        <w:spacing w:after="0" w:line="560" w:lineRule="exact"/>
        <w:ind w:firstLine="880" w:firstLineChars="274"/>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40" w:firstLineChars="200"/>
        <w:jc w:val="both"/>
        <w:rPr>
          <w:rFonts w:ascii="仿宋_GB2312" w:hAnsi="仿宋" w:eastAsia="仿宋_GB2312"/>
          <w:b/>
          <w:sz w:val="32"/>
          <w:szCs w:val="32"/>
        </w:rPr>
      </w:pPr>
      <w:r>
        <w:rPr>
          <w:rFonts w:hint="eastAsia" w:ascii="仿宋_GB2312" w:hAnsi="仿宋" w:eastAsia="仿宋_GB2312"/>
          <w:sz w:val="32"/>
          <w:szCs w:val="32"/>
        </w:rPr>
        <w:t>核查机构应对排放报告中每一个测量设备进行核查核查的内容包括:序号、规定的和实际的校准频次、校准的标准。核查机构应对每一个测量设备的符合性进行报告。如测量设备较多(每同类设备多于10个、单个计量设备计量数据的排放量小于总排放的5%)或测量设备不受重点排放单位控制，可调整报告格式，仅报告监测设备数量，但核查机构应确保此项简化不影响核查工作的数据质量。报告格式如下：</w:t>
      </w:r>
    </w:p>
    <w:tbl>
      <w:tblPr>
        <w:tblStyle w:val="35"/>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559"/>
        <w:gridCol w:w="1276"/>
        <w:gridCol w:w="155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shd w:val="clear" w:color="auto" w:fill="D9D9D9"/>
          </w:tcPr>
          <w:p>
            <w:pPr>
              <w:pStyle w:val="15"/>
              <w:spacing w:line="560" w:lineRule="exact"/>
              <w:jc w:val="center"/>
              <w:rPr>
                <w:rFonts w:ascii="仿宋_GB2312" w:hAnsi="仿宋" w:eastAsia="仿宋_GB2312" w:cs="Arial"/>
                <w:b/>
                <w:bCs/>
                <w:sz w:val="24"/>
                <w:szCs w:val="24"/>
                <w:lang w:val="en-GB"/>
              </w:rPr>
            </w:pPr>
            <w:r>
              <w:rPr>
                <w:rFonts w:hint="eastAsia" w:ascii="仿宋_GB2312" w:hAnsi="仿宋" w:eastAsia="仿宋_GB2312" w:cs="Arial"/>
                <w:b/>
                <w:bCs/>
                <w:sz w:val="24"/>
                <w:szCs w:val="24"/>
                <w:lang w:val="en-GB"/>
              </w:rPr>
              <w:t>测量设备1</w:t>
            </w:r>
          </w:p>
        </w:tc>
        <w:tc>
          <w:tcPr>
            <w:tcW w:w="5954" w:type="dxa"/>
            <w:gridSpan w:val="4"/>
            <w:shd w:val="clear" w:color="auto" w:fill="D9D9D9"/>
          </w:tcPr>
          <w:p>
            <w:pPr>
              <w:pStyle w:val="15"/>
              <w:spacing w:line="560" w:lineRule="exact"/>
              <w:jc w:val="center"/>
              <w:rPr>
                <w:rFonts w:ascii="仿宋_GB2312" w:hAnsi="仿宋" w:eastAsia="仿宋_GB2312" w:cs="Arial"/>
                <w:b/>
                <w:bCs/>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序号SN</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规定的校准频次</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实际的校准频次</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校准标准</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覆盖报告期工作日期的校准日期</w:t>
            </w:r>
          </w:p>
        </w:tc>
        <w:tc>
          <w:tcPr>
            <w:tcW w:w="1559"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c>
          <w:tcPr>
            <w:tcW w:w="1276"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年月 日</w:t>
            </w:r>
          </w:p>
        </w:tc>
        <w:tc>
          <w:tcPr>
            <w:tcW w:w="1559"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年月  日</w:t>
            </w:r>
          </w:p>
        </w:tc>
        <w:tc>
          <w:tcPr>
            <w:tcW w:w="1560"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年月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有效期至</w:t>
            </w:r>
          </w:p>
        </w:tc>
        <w:tc>
          <w:tcPr>
            <w:tcW w:w="1559"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c>
          <w:tcPr>
            <w:tcW w:w="1276"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年月 日</w:t>
            </w:r>
          </w:p>
        </w:tc>
        <w:tc>
          <w:tcPr>
            <w:tcW w:w="1559"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c>
          <w:tcPr>
            <w:tcW w:w="1560"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shd w:val="clear" w:color="auto" w:fill="D9D9D9"/>
          </w:tcPr>
          <w:p>
            <w:pPr>
              <w:pStyle w:val="15"/>
              <w:spacing w:line="560" w:lineRule="exact"/>
              <w:jc w:val="center"/>
              <w:rPr>
                <w:rFonts w:ascii="仿宋_GB2312" w:hAnsi="仿宋" w:eastAsia="仿宋_GB2312" w:cs="Arial"/>
                <w:b/>
                <w:bCs/>
                <w:sz w:val="24"/>
                <w:szCs w:val="24"/>
                <w:lang w:val="en-GB"/>
              </w:rPr>
            </w:pPr>
            <w:r>
              <w:rPr>
                <w:rFonts w:hint="eastAsia" w:ascii="仿宋_GB2312" w:hAnsi="仿宋" w:eastAsia="仿宋_GB2312" w:cs="Arial"/>
                <w:b/>
                <w:bCs/>
                <w:sz w:val="24"/>
                <w:szCs w:val="24"/>
                <w:lang w:val="en-GB"/>
              </w:rPr>
              <w:t>测量设备2</w:t>
            </w:r>
          </w:p>
        </w:tc>
        <w:tc>
          <w:tcPr>
            <w:tcW w:w="5954" w:type="dxa"/>
            <w:gridSpan w:val="4"/>
            <w:shd w:val="clear" w:color="auto" w:fill="D9D9D9"/>
          </w:tcPr>
          <w:p>
            <w:pPr>
              <w:pStyle w:val="15"/>
              <w:spacing w:line="560" w:lineRule="exact"/>
              <w:jc w:val="center"/>
              <w:rPr>
                <w:rFonts w:ascii="仿宋_GB2312" w:hAnsi="仿宋" w:eastAsia="仿宋_GB2312" w:cs="Arial"/>
                <w:b/>
                <w:bCs/>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序号SN</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规定的校准频次</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实际的校准频次</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校准标准</w:t>
            </w:r>
          </w:p>
        </w:tc>
        <w:tc>
          <w:tcPr>
            <w:tcW w:w="5954" w:type="dxa"/>
            <w:gridSpan w:val="4"/>
          </w:tcPr>
          <w:p>
            <w:pPr>
              <w:pStyle w:val="15"/>
              <w:spacing w:line="560" w:lineRule="exact"/>
              <w:rPr>
                <w:rFonts w:ascii="仿宋_GB2312" w:hAnsi="仿宋" w:eastAsia="仿宋_GB2312" w:cs="Arial"/>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覆盖报告期的工作日期的校准日期</w:t>
            </w:r>
          </w:p>
        </w:tc>
        <w:tc>
          <w:tcPr>
            <w:tcW w:w="1559"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c>
          <w:tcPr>
            <w:tcW w:w="1276"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年月 日</w:t>
            </w:r>
          </w:p>
        </w:tc>
        <w:tc>
          <w:tcPr>
            <w:tcW w:w="1559"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c>
          <w:tcPr>
            <w:tcW w:w="1560"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有效期至</w:t>
            </w:r>
          </w:p>
        </w:tc>
        <w:tc>
          <w:tcPr>
            <w:tcW w:w="1559"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c>
          <w:tcPr>
            <w:tcW w:w="1276"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年月 日</w:t>
            </w:r>
          </w:p>
        </w:tc>
        <w:tc>
          <w:tcPr>
            <w:tcW w:w="1559"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c>
          <w:tcPr>
            <w:tcW w:w="1560" w:type="dxa"/>
          </w:tcPr>
          <w:p>
            <w:pPr>
              <w:pStyle w:val="15"/>
              <w:spacing w:line="560" w:lineRule="exact"/>
              <w:ind w:firstLine="120" w:firstLineChars="50"/>
              <w:rPr>
                <w:rFonts w:ascii="仿宋_GB2312" w:hAnsi="仿宋" w:eastAsia="仿宋_GB2312" w:cs="Arial"/>
                <w:sz w:val="24"/>
                <w:szCs w:val="24"/>
                <w:lang w:val="en-GB"/>
              </w:rPr>
            </w:pPr>
            <w:r>
              <w:rPr>
                <w:rFonts w:hint="eastAsia" w:ascii="仿宋_GB2312" w:hAnsi="仿宋" w:eastAsia="仿宋_GB2312" w:cs="Arial"/>
                <w:sz w:val="24"/>
                <w:szCs w:val="24"/>
                <w:lang w:val="en-G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shd w:val="clear" w:color="auto" w:fill="D9D9D9"/>
          </w:tcPr>
          <w:p>
            <w:pPr>
              <w:pStyle w:val="15"/>
              <w:spacing w:line="560" w:lineRule="exact"/>
              <w:jc w:val="center"/>
              <w:rPr>
                <w:rFonts w:ascii="仿宋_GB2312" w:hAnsi="仿宋" w:eastAsia="仿宋_GB2312" w:cs="Arial"/>
                <w:b/>
                <w:bCs/>
                <w:sz w:val="24"/>
                <w:szCs w:val="24"/>
                <w:lang w:val="en-GB"/>
              </w:rPr>
            </w:pPr>
            <w:r>
              <w:rPr>
                <w:rFonts w:hint="eastAsia" w:ascii="仿宋_GB2312" w:hAnsi="仿宋" w:eastAsia="仿宋_GB2312" w:cs="Arial"/>
                <w:b/>
                <w:bCs/>
                <w:sz w:val="24"/>
                <w:szCs w:val="24"/>
                <w:lang w:val="en-GB"/>
              </w:rPr>
              <w:t>测量设备3</w:t>
            </w:r>
          </w:p>
        </w:tc>
        <w:tc>
          <w:tcPr>
            <w:tcW w:w="5954" w:type="dxa"/>
            <w:gridSpan w:val="4"/>
            <w:shd w:val="clear" w:color="auto" w:fill="D9D9D9"/>
          </w:tcPr>
          <w:p>
            <w:pPr>
              <w:pStyle w:val="15"/>
              <w:spacing w:line="560" w:lineRule="exact"/>
              <w:jc w:val="center"/>
              <w:rPr>
                <w:rFonts w:ascii="仿宋_GB2312" w:hAnsi="仿宋" w:eastAsia="仿宋_GB2312" w:cs="Arial"/>
                <w:b/>
                <w:bCs/>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8" w:type="dxa"/>
          </w:tcPr>
          <w:p>
            <w:pPr>
              <w:pStyle w:val="15"/>
              <w:spacing w:line="560" w:lineRule="exact"/>
              <w:rPr>
                <w:rFonts w:ascii="仿宋_GB2312" w:hAnsi="仿宋" w:eastAsia="仿宋_GB2312" w:cs="Arial"/>
                <w:sz w:val="24"/>
                <w:szCs w:val="24"/>
                <w:lang w:val="en-GB"/>
              </w:rPr>
            </w:pPr>
            <w:r>
              <w:rPr>
                <w:rFonts w:hint="eastAsia" w:ascii="仿宋_GB2312" w:hAnsi="仿宋" w:eastAsia="仿宋_GB2312" w:cs="Arial"/>
                <w:sz w:val="24"/>
                <w:szCs w:val="24"/>
                <w:lang w:val="en-GB"/>
              </w:rPr>
              <w:t>……</w:t>
            </w:r>
          </w:p>
        </w:tc>
        <w:tc>
          <w:tcPr>
            <w:tcW w:w="5954" w:type="dxa"/>
            <w:gridSpan w:val="4"/>
          </w:tcPr>
          <w:p>
            <w:pPr>
              <w:pStyle w:val="15"/>
              <w:spacing w:line="560" w:lineRule="exact"/>
              <w:rPr>
                <w:rFonts w:ascii="仿宋_GB2312" w:hAnsi="仿宋" w:eastAsia="仿宋_GB2312" w:cs="Arial"/>
                <w:sz w:val="24"/>
                <w:szCs w:val="24"/>
                <w:lang w:val="en-GB"/>
              </w:rPr>
            </w:pPr>
          </w:p>
        </w:tc>
      </w:tr>
    </w:tbl>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核查机构应对上述每一个测量设备的核查发现进行报告，并简要描述不符合(如有),详细描述及纠正措施链接核查报告附件1。</w:t>
      </w:r>
    </w:p>
    <w:p>
      <w:pPr>
        <w:spacing w:after="0" w:line="560" w:lineRule="exact"/>
        <w:ind w:firstLine="630" w:firstLineChars="196"/>
        <w:jc w:val="both"/>
        <w:outlineLvl w:val="0"/>
        <w:rPr>
          <w:rFonts w:ascii="仿宋_GB2312" w:hAnsi="仿宋" w:eastAsia="仿宋_GB2312"/>
          <w:b/>
          <w:color w:val="000000"/>
          <w:sz w:val="32"/>
          <w:szCs w:val="32"/>
        </w:rPr>
      </w:pPr>
      <w:r>
        <w:rPr>
          <w:rFonts w:hint="eastAsia" w:ascii="仿宋_GB2312" w:hAnsi="仿宋" w:eastAsia="仿宋_GB2312"/>
          <w:b/>
          <w:color w:val="000000"/>
          <w:sz w:val="32"/>
          <w:szCs w:val="32"/>
        </w:rPr>
        <w:t>B)核查方法</w:t>
      </w:r>
    </w:p>
    <w:p>
      <w:pPr>
        <w:widowControl w:val="0"/>
        <w:numPr>
          <w:ilvl w:val="0"/>
          <w:numId w:val="1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查阅校准报告、设备维修和更新记录；</w:t>
      </w:r>
    </w:p>
    <w:p>
      <w:pPr>
        <w:widowControl w:val="0"/>
        <w:numPr>
          <w:ilvl w:val="0"/>
          <w:numId w:val="1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现场观察设备校准标签；</w:t>
      </w:r>
    </w:p>
    <w:p>
      <w:pPr>
        <w:widowControl w:val="0"/>
        <w:numPr>
          <w:ilvl w:val="0"/>
          <w:numId w:val="1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查阅《能源计量器具一览表》；</w:t>
      </w:r>
    </w:p>
    <w:p>
      <w:pPr>
        <w:widowControl w:val="0"/>
        <w:numPr>
          <w:ilvl w:val="0"/>
          <w:numId w:val="1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查阅《能源计量器具配置表及能源计量网络图》；</w:t>
      </w:r>
    </w:p>
    <w:p>
      <w:pPr>
        <w:widowControl w:val="0"/>
        <w:numPr>
          <w:ilvl w:val="0"/>
          <w:numId w:val="19"/>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与测量设备管理人员交谈等。</w:t>
      </w:r>
    </w:p>
    <w:p>
      <w:pPr>
        <w:spacing w:after="0" w:line="560" w:lineRule="exact"/>
        <w:ind w:firstLine="659" w:firstLineChars="205"/>
        <w:jc w:val="both"/>
        <w:rPr>
          <w:rFonts w:ascii="仿宋_GB2312" w:hAnsi="仿宋" w:eastAsia="仿宋_GB2312"/>
          <w:b/>
          <w:sz w:val="32"/>
          <w:szCs w:val="32"/>
        </w:rPr>
      </w:pPr>
      <w:r>
        <w:rPr>
          <w:rFonts w:hint="eastAsia" w:ascii="仿宋_GB2312" w:hAnsi="仿宋" w:eastAsia="仿宋_GB2312"/>
          <w:b/>
          <w:sz w:val="32"/>
          <w:szCs w:val="32"/>
        </w:rPr>
        <w:t>3.5 二氧化碳排放量计算过程及结果</w:t>
      </w:r>
    </w:p>
    <w:p>
      <w:pPr>
        <w:spacing w:after="0" w:line="560" w:lineRule="exact"/>
        <w:ind w:firstLine="659" w:firstLineChars="205"/>
        <w:jc w:val="both"/>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56" w:firstLineChars="205"/>
        <w:jc w:val="both"/>
        <w:outlineLvl w:val="0"/>
        <w:rPr>
          <w:rFonts w:ascii="仿宋_GB2312" w:hAnsi="仿宋" w:eastAsia="仿宋_GB2312"/>
          <w:sz w:val="32"/>
          <w:szCs w:val="32"/>
        </w:rPr>
      </w:pPr>
      <w:r>
        <w:rPr>
          <w:rFonts w:hint="eastAsia" w:ascii="仿宋_GB2312" w:hAnsi="仿宋" w:eastAsia="仿宋_GB2312"/>
          <w:sz w:val="32"/>
          <w:szCs w:val="32"/>
        </w:rPr>
        <w:t>3.5.1 计算过程及结果</w:t>
      </w:r>
    </w:p>
    <w:p>
      <w:pPr>
        <w:spacing w:after="0" w:line="560" w:lineRule="exact"/>
        <w:ind w:firstLine="564"/>
        <w:jc w:val="both"/>
        <w:rPr>
          <w:rFonts w:ascii="仿宋_GB2312" w:hAnsi="仿宋" w:eastAsia="仿宋_GB2312"/>
          <w:sz w:val="32"/>
          <w:szCs w:val="32"/>
        </w:rPr>
      </w:pPr>
      <w:r>
        <w:rPr>
          <w:rFonts w:hint="eastAsia" w:ascii="仿宋_GB2312" w:hAnsi="仿宋" w:eastAsia="仿宋_GB2312"/>
          <w:sz w:val="32"/>
          <w:szCs w:val="32"/>
        </w:rPr>
        <w:t>核查机构对重点碳排放单位报告的核算结果进行核查。核查机构应详细报告如下核查发现:</w:t>
      </w:r>
    </w:p>
    <w:p>
      <w:pPr>
        <w:widowControl w:val="0"/>
        <w:numPr>
          <w:ilvl w:val="0"/>
          <w:numId w:val="2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排放量的计算公式是否正确；</w:t>
      </w:r>
    </w:p>
    <w:p>
      <w:pPr>
        <w:widowControl w:val="0"/>
        <w:numPr>
          <w:ilvl w:val="0"/>
          <w:numId w:val="2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排放量的累加是否正确；</w:t>
      </w:r>
    </w:p>
    <w:p>
      <w:pPr>
        <w:widowControl w:val="0"/>
        <w:numPr>
          <w:ilvl w:val="0"/>
          <w:numId w:val="2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排放量的计算是否可再现；</w:t>
      </w:r>
    </w:p>
    <w:p>
      <w:pPr>
        <w:widowControl w:val="0"/>
        <w:numPr>
          <w:ilvl w:val="0"/>
          <w:numId w:val="2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直接排放和间接排放最终结果计算是否正确；</w:t>
      </w:r>
    </w:p>
    <w:p>
      <w:pPr>
        <w:widowControl w:val="0"/>
        <w:numPr>
          <w:ilvl w:val="0"/>
          <w:numId w:val="2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本年度排放量与基准年</w:t>
      </w:r>
      <w:r>
        <w:rPr>
          <w:rFonts w:ascii="仿宋_GB2312" w:hAnsi="仿宋" w:eastAsia="仿宋_GB2312"/>
          <w:sz w:val="32"/>
          <w:szCs w:val="32"/>
        </w:rPr>
        <w:t>和</w:t>
      </w:r>
      <w:r>
        <w:rPr>
          <w:rFonts w:hint="eastAsia" w:ascii="仿宋_GB2312" w:hAnsi="仿宋" w:eastAsia="仿宋_GB2312"/>
          <w:sz w:val="32"/>
          <w:szCs w:val="32"/>
        </w:rPr>
        <w:t>上一年度排放量的对比,对存在异常变化(</w:t>
      </w:r>
      <w:r>
        <w:rPr>
          <w:rFonts w:hint="eastAsia" w:ascii="仿宋_GB2312" w:eastAsia="仿宋_GB2312"/>
          <w:sz w:val="32"/>
          <w:szCs w:val="32"/>
        </w:rPr>
        <w:t>履约年度二氧化碳排放量1</w:t>
      </w:r>
      <w:r>
        <w:rPr>
          <w:rFonts w:ascii="仿宋_GB2312" w:eastAsia="仿宋_GB2312"/>
          <w:sz w:val="32"/>
          <w:szCs w:val="32"/>
        </w:rPr>
        <w:t>0</w:t>
      </w:r>
      <w:r>
        <w:rPr>
          <w:rFonts w:hint="eastAsia" w:ascii="仿宋_GB2312" w:eastAsia="仿宋_GB2312"/>
          <w:sz w:val="32"/>
          <w:szCs w:val="32"/>
        </w:rPr>
        <w:t>万吨（含）以上的</w:t>
      </w:r>
      <w:r>
        <w:rPr>
          <w:rFonts w:ascii="仿宋_GB2312" w:eastAsia="仿宋_GB2312"/>
          <w:sz w:val="32"/>
          <w:szCs w:val="32"/>
        </w:rPr>
        <w:t>重点碳排放单位，</w:t>
      </w:r>
      <w:r>
        <w:rPr>
          <w:rFonts w:hint="eastAsia" w:ascii="仿宋_GB2312" w:eastAsia="仿宋_GB2312"/>
          <w:sz w:val="32"/>
          <w:szCs w:val="32"/>
        </w:rPr>
        <w:t>如</w:t>
      </w:r>
      <w:r>
        <w:rPr>
          <w:rFonts w:ascii="仿宋_GB2312" w:eastAsia="仿宋_GB2312"/>
          <w:sz w:val="32"/>
          <w:szCs w:val="32"/>
        </w:rPr>
        <w:t>果</w:t>
      </w:r>
      <w:r>
        <w:rPr>
          <w:rFonts w:hint="eastAsia" w:ascii="仿宋_GB2312" w:eastAsia="仿宋_GB2312"/>
          <w:sz w:val="32"/>
          <w:szCs w:val="32"/>
        </w:rPr>
        <w:t>履约</w:t>
      </w:r>
      <w:r>
        <w:rPr>
          <w:rFonts w:ascii="仿宋_GB2312" w:eastAsia="仿宋_GB2312"/>
          <w:sz w:val="32"/>
          <w:szCs w:val="32"/>
        </w:rPr>
        <w:t>年度排放量相对于历史基准年</w:t>
      </w:r>
      <w:r>
        <w:rPr>
          <w:rFonts w:hint="eastAsia" w:ascii="仿宋_GB2312" w:eastAsia="仿宋_GB2312"/>
          <w:sz w:val="32"/>
          <w:szCs w:val="32"/>
        </w:rPr>
        <w:t>和</w:t>
      </w:r>
      <w:r>
        <w:rPr>
          <w:rFonts w:ascii="仿宋_GB2312" w:eastAsia="仿宋_GB2312"/>
          <w:sz w:val="32"/>
          <w:szCs w:val="32"/>
        </w:rPr>
        <w:t>上一年度</w:t>
      </w:r>
      <w:r>
        <w:rPr>
          <w:rFonts w:hint="eastAsia" w:ascii="仿宋_GB2312" w:eastAsia="仿宋_GB2312"/>
          <w:sz w:val="32"/>
          <w:szCs w:val="32"/>
        </w:rPr>
        <w:t>排放量</w:t>
      </w:r>
      <w:r>
        <w:rPr>
          <w:rFonts w:ascii="仿宋_GB2312" w:eastAsia="仿宋_GB2312"/>
          <w:sz w:val="32"/>
          <w:szCs w:val="32"/>
        </w:rPr>
        <w:t>下降幅度</w:t>
      </w:r>
      <w:r>
        <w:rPr>
          <w:rFonts w:hint="eastAsia" w:ascii="仿宋_GB2312" w:eastAsia="仿宋_GB2312"/>
          <w:sz w:val="32"/>
          <w:szCs w:val="32"/>
        </w:rPr>
        <w:t>超过2</w:t>
      </w:r>
      <w:r>
        <w:rPr>
          <w:rFonts w:ascii="仿宋_GB2312" w:eastAsia="仿宋_GB2312"/>
          <w:sz w:val="32"/>
          <w:szCs w:val="32"/>
        </w:rPr>
        <w:t>0</w:t>
      </w:r>
      <w:r>
        <w:rPr>
          <w:rFonts w:hint="eastAsia" w:ascii="仿宋_GB2312" w:eastAsia="仿宋_GB2312"/>
          <w:sz w:val="32"/>
          <w:szCs w:val="32"/>
        </w:rPr>
        <w:t>%（含）；对于履约年度二氧化碳排放量1</w:t>
      </w:r>
      <w:r>
        <w:rPr>
          <w:rFonts w:ascii="仿宋_GB2312" w:eastAsia="仿宋_GB2312"/>
          <w:sz w:val="32"/>
          <w:szCs w:val="32"/>
        </w:rPr>
        <w:t>0</w:t>
      </w:r>
      <w:r>
        <w:rPr>
          <w:rFonts w:hint="eastAsia" w:ascii="仿宋_GB2312" w:eastAsia="仿宋_GB2312"/>
          <w:sz w:val="32"/>
          <w:szCs w:val="32"/>
        </w:rPr>
        <w:t>万吨以下的</w:t>
      </w:r>
      <w:r>
        <w:rPr>
          <w:rFonts w:ascii="仿宋_GB2312" w:eastAsia="仿宋_GB2312"/>
          <w:sz w:val="32"/>
          <w:szCs w:val="32"/>
        </w:rPr>
        <w:t>重点碳排放单位</w:t>
      </w:r>
      <w:r>
        <w:rPr>
          <w:rFonts w:hint="eastAsia" w:ascii="仿宋_GB2312" w:eastAsia="仿宋_GB2312"/>
          <w:sz w:val="32"/>
          <w:szCs w:val="32"/>
        </w:rPr>
        <w:t>，</w:t>
      </w:r>
      <w:r>
        <w:rPr>
          <w:rFonts w:ascii="仿宋_GB2312" w:eastAsia="仿宋_GB2312"/>
          <w:sz w:val="32"/>
          <w:szCs w:val="32"/>
        </w:rPr>
        <w:t>如果</w:t>
      </w:r>
      <w:r>
        <w:rPr>
          <w:rFonts w:hint="eastAsia" w:ascii="仿宋_GB2312" w:eastAsia="仿宋_GB2312"/>
          <w:sz w:val="32"/>
          <w:szCs w:val="32"/>
        </w:rPr>
        <w:t>履约</w:t>
      </w:r>
      <w:r>
        <w:rPr>
          <w:rFonts w:ascii="仿宋_GB2312" w:eastAsia="仿宋_GB2312"/>
          <w:sz w:val="32"/>
          <w:szCs w:val="32"/>
        </w:rPr>
        <w:t>年度排放量相对于历史基准年</w:t>
      </w:r>
      <w:r>
        <w:rPr>
          <w:rFonts w:hint="eastAsia" w:ascii="仿宋_GB2312" w:eastAsia="仿宋_GB2312"/>
          <w:sz w:val="32"/>
          <w:szCs w:val="32"/>
        </w:rPr>
        <w:t>和</w:t>
      </w:r>
      <w:r>
        <w:rPr>
          <w:rFonts w:ascii="仿宋_GB2312" w:eastAsia="仿宋_GB2312"/>
          <w:sz w:val="32"/>
          <w:szCs w:val="32"/>
        </w:rPr>
        <w:t>上一年度</w:t>
      </w:r>
      <w:r>
        <w:rPr>
          <w:rFonts w:hint="eastAsia" w:ascii="仿宋_GB2312" w:eastAsia="仿宋_GB2312"/>
          <w:sz w:val="32"/>
          <w:szCs w:val="32"/>
        </w:rPr>
        <w:t>排放量</w:t>
      </w:r>
      <w:r>
        <w:rPr>
          <w:rFonts w:ascii="仿宋_GB2312" w:eastAsia="仿宋_GB2312"/>
          <w:sz w:val="32"/>
          <w:szCs w:val="32"/>
        </w:rPr>
        <w:t>下降幅度</w:t>
      </w:r>
      <w:r>
        <w:rPr>
          <w:rFonts w:hint="eastAsia" w:ascii="仿宋_GB2312" w:eastAsia="仿宋_GB2312"/>
          <w:sz w:val="32"/>
          <w:szCs w:val="32"/>
        </w:rPr>
        <w:t>超过</w:t>
      </w:r>
      <w:r>
        <w:rPr>
          <w:rFonts w:ascii="仿宋_GB2312" w:eastAsia="仿宋_GB2312"/>
          <w:sz w:val="32"/>
          <w:szCs w:val="32"/>
        </w:rPr>
        <w:t>30</w:t>
      </w:r>
      <w:r>
        <w:rPr>
          <w:rFonts w:hint="eastAsia" w:ascii="仿宋_GB2312" w:eastAsia="仿宋_GB2312"/>
          <w:sz w:val="32"/>
          <w:szCs w:val="32"/>
        </w:rPr>
        <w:t>%（含）</w:t>
      </w:r>
      <w:r>
        <w:rPr>
          <w:rFonts w:hint="eastAsia" w:ascii="仿宋_GB2312" w:hAnsi="仿宋" w:eastAsia="仿宋_GB2312"/>
          <w:sz w:val="32"/>
          <w:szCs w:val="32"/>
        </w:rPr>
        <w:t>)的原因的核查发现;</w:t>
      </w:r>
    </w:p>
    <w:p>
      <w:pPr>
        <w:widowControl w:val="0"/>
        <w:numPr>
          <w:ilvl w:val="0"/>
          <w:numId w:val="2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简要描述不符合(如有),详细描述及纠正措施链接核查报告附件1）。</w:t>
      </w:r>
    </w:p>
    <w:p>
      <w:pPr>
        <w:spacing w:after="0" w:line="560" w:lineRule="exact"/>
        <w:ind w:firstLine="640" w:firstLineChars="200"/>
        <w:outlineLvl w:val="0"/>
        <w:rPr>
          <w:rFonts w:ascii="仿宋_GB2312" w:hAnsi="仿宋" w:eastAsia="仿宋_GB2312"/>
          <w:sz w:val="32"/>
          <w:szCs w:val="32"/>
        </w:rPr>
      </w:pPr>
      <w:r>
        <w:rPr>
          <w:rFonts w:hint="eastAsia" w:ascii="仿宋_GB2312" w:hAnsi="仿宋" w:eastAsia="仿宋_GB2312"/>
          <w:sz w:val="32"/>
          <w:szCs w:val="32"/>
        </w:rPr>
        <w:t>3.5.2 不确定性分析</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核查机构应对重点碳排放单位影响其直接排放量主要不确定性因素和不确定性量化的计算结果进行核查。报告内容应包括：</w:t>
      </w:r>
    </w:p>
    <w:p>
      <w:pPr>
        <w:widowControl w:val="0"/>
        <w:numPr>
          <w:ilvl w:val="0"/>
          <w:numId w:val="21"/>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每个影响因素的合理性；</w:t>
      </w:r>
    </w:p>
    <w:p>
      <w:pPr>
        <w:widowControl w:val="0"/>
        <w:numPr>
          <w:ilvl w:val="0"/>
          <w:numId w:val="21"/>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活动水平数据不确定性量化结果的合理性；</w:t>
      </w:r>
    </w:p>
    <w:p>
      <w:pPr>
        <w:widowControl w:val="0"/>
        <w:numPr>
          <w:ilvl w:val="0"/>
          <w:numId w:val="21"/>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排放因子不确定性量化结果的合理性；</w:t>
      </w:r>
    </w:p>
    <w:p>
      <w:pPr>
        <w:widowControl w:val="0"/>
        <w:numPr>
          <w:ilvl w:val="0"/>
          <w:numId w:val="21"/>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排放量不确定性的计算公式是否正确；</w:t>
      </w:r>
    </w:p>
    <w:p>
      <w:pPr>
        <w:widowControl w:val="0"/>
        <w:numPr>
          <w:ilvl w:val="0"/>
          <w:numId w:val="21"/>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误差传递的计算公式是否正确；</w:t>
      </w:r>
    </w:p>
    <w:p>
      <w:pPr>
        <w:widowControl w:val="0"/>
        <w:numPr>
          <w:ilvl w:val="0"/>
          <w:numId w:val="20"/>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对开具的不符合进行简要描述（详细描述及纠正措施链接附件1）。</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B)核查方法</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请排放报告编写人员现场演示计算过程；</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查阅排放报告中的公式关联；</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利用EXCEL表格验算；</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与年度能源报告结果交差核对。</w:t>
      </w:r>
    </w:p>
    <w:p>
      <w:pPr>
        <w:spacing w:after="0" w:line="560" w:lineRule="exact"/>
        <w:ind w:firstLine="659" w:firstLineChars="205"/>
        <w:jc w:val="both"/>
        <w:rPr>
          <w:rFonts w:ascii="仿宋_GB2312" w:hAnsi="仿宋" w:eastAsia="仿宋_GB2312"/>
          <w:b/>
          <w:sz w:val="32"/>
          <w:szCs w:val="32"/>
        </w:rPr>
      </w:pPr>
      <w:r>
        <w:rPr>
          <w:rFonts w:hint="eastAsia" w:ascii="仿宋_GB2312" w:hAnsi="仿宋" w:eastAsia="仿宋_GB2312"/>
          <w:b/>
          <w:sz w:val="32"/>
          <w:szCs w:val="32"/>
        </w:rPr>
        <w:t>3.6 新增排放设施及既有设施退出的核查</w:t>
      </w:r>
    </w:p>
    <w:p>
      <w:pPr>
        <w:spacing w:after="0" w:line="560" w:lineRule="exact"/>
        <w:ind w:firstLine="659" w:firstLineChars="205"/>
        <w:jc w:val="both"/>
        <w:rPr>
          <w:rFonts w:ascii="仿宋_GB2312" w:hAnsi="仿宋" w:eastAsia="仿宋_GB2312"/>
          <w:b/>
          <w:sz w:val="32"/>
          <w:szCs w:val="32"/>
        </w:rPr>
      </w:pPr>
      <w:r>
        <w:rPr>
          <w:rFonts w:hint="eastAsia" w:ascii="仿宋_GB2312" w:hAnsi="仿宋" w:eastAsia="仿宋_GB2312"/>
          <w:b/>
          <w:sz w:val="32"/>
          <w:szCs w:val="32"/>
        </w:rPr>
        <w:t>3.6.1</w:t>
      </w:r>
      <w:r>
        <w:rPr>
          <w:rFonts w:hint="eastAsia" w:ascii="仿宋_GB2312" w:hAnsi="仿宋" w:eastAsia="仿宋_GB2312"/>
          <w:b/>
          <w:bCs/>
          <w:sz w:val="32"/>
          <w:szCs w:val="32"/>
        </w:rPr>
        <w:t>新增设施基本信息的核查</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A)报告内容</w:t>
      </w:r>
    </w:p>
    <w:p>
      <w:pPr>
        <w:widowControl w:val="0"/>
        <w:spacing w:after="0" w:line="560" w:lineRule="exact"/>
        <w:ind w:firstLine="643" w:firstLineChars="201"/>
        <w:jc w:val="both"/>
        <w:rPr>
          <w:rFonts w:ascii="仿宋_GB2312" w:hAnsi="仿宋" w:eastAsia="仿宋_GB2312"/>
          <w:sz w:val="32"/>
          <w:szCs w:val="32"/>
        </w:rPr>
      </w:pPr>
      <w:r>
        <w:rPr>
          <w:rFonts w:hint="eastAsia" w:ascii="仿宋_GB2312" w:hAnsi="仿宋" w:eastAsia="仿宋_GB2312"/>
          <w:sz w:val="32"/>
          <w:szCs w:val="32"/>
        </w:rPr>
        <w:t>核查机构应对重点碳排放单位201</w:t>
      </w:r>
      <w:r>
        <w:rPr>
          <w:rFonts w:ascii="仿宋_GB2312" w:hAnsi="仿宋" w:eastAsia="仿宋_GB2312"/>
          <w:sz w:val="32"/>
          <w:szCs w:val="32"/>
        </w:rPr>
        <w:t>9</w:t>
      </w:r>
      <w:r>
        <w:rPr>
          <w:rFonts w:hint="eastAsia" w:ascii="仿宋_GB2312" w:hAnsi="仿宋" w:eastAsia="仿宋_GB2312"/>
          <w:sz w:val="32"/>
          <w:szCs w:val="32"/>
        </w:rPr>
        <w:t>年1月1日后新投产运行的设施的名称、型号、物理位置和投产时间等内容进行核查，确定企业填报信息与现场设备信息一致。</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B)核查方法</w:t>
      </w:r>
    </w:p>
    <w:p>
      <w:pPr>
        <w:widowControl w:val="0"/>
        <w:spacing w:after="0" w:line="560" w:lineRule="exact"/>
        <w:ind w:firstLine="579" w:firstLineChars="181"/>
        <w:jc w:val="both"/>
        <w:rPr>
          <w:rFonts w:ascii="仿宋_GB2312" w:hAnsi="仿宋" w:eastAsia="仿宋_GB2312"/>
          <w:sz w:val="32"/>
          <w:szCs w:val="32"/>
        </w:rPr>
      </w:pPr>
      <w:r>
        <w:rPr>
          <w:rFonts w:hint="eastAsia" w:ascii="仿宋_GB2312" w:hAnsi="仿宋" w:eastAsia="仿宋_GB2312"/>
          <w:sz w:val="32"/>
          <w:szCs w:val="32"/>
        </w:rPr>
        <w:t>对新增设施的开始投产运行时间的核查，可查阅以下证据：</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外部验收报告（如环保、消防验收报告）；</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内部验收报告；</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租赁协议；</w:t>
      </w:r>
    </w:p>
    <w:p>
      <w:pPr>
        <w:widowControl w:val="0"/>
        <w:numPr>
          <w:ilvl w:val="0"/>
          <w:numId w:val="22"/>
        </w:numPr>
        <w:spacing w:after="0" w:line="560" w:lineRule="exact"/>
        <w:ind w:left="0" w:firstLine="420"/>
        <w:jc w:val="both"/>
        <w:rPr>
          <w:rFonts w:ascii="仿宋_GB2312" w:hAnsi="仿宋" w:eastAsia="仿宋_GB2312"/>
          <w:sz w:val="32"/>
          <w:szCs w:val="32"/>
        </w:rPr>
      </w:pPr>
      <w:r>
        <w:rPr>
          <w:rFonts w:hint="eastAsia" w:ascii="仿宋_GB2312" w:hAnsi="仿宋" w:eastAsia="仿宋_GB2312"/>
          <w:sz w:val="32"/>
          <w:szCs w:val="32"/>
        </w:rPr>
        <w:t>统计报表（如《固定资产投资项目基本情况表》或其他行业的统计年度和定期报表）；</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企业提供的其他证据。</w:t>
      </w:r>
    </w:p>
    <w:p>
      <w:pPr>
        <w:widowControl w:val="0"/>
        <w:spacing w:after="0" w:line="560" w:lineRule="exact"/>
        <w:ind w:left="420"/>
        <w:jc w:val="both"/>
        <w:rPr>
          <w:rFonts w:ascii="仿宋_GB2312" w:hAnsi="仿宋" w:eastAsia="仿宋_GB2312"/>
          <w:sz w:val="32"/>
          <w:szCs w:val="32"/>
        </w:rPr>
      </w:pPr>
      <w:r>
        <w:rPr>
          <w:rFonts w:hint="eastAsia" w:ascii="仿宋_GB2312" w:hAnsi="仿宋" w:eastAsia="仿宋_GB2312"/>
          <w:sz w:val="32"/>
          <w:szCs w:val="32"/>
        </w:rPr>
        <w:t>对新增设施信息的核查：</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现场观察新增设施的位置、型号；</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查阅可研报告或环评报告的批复；</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查阅固定资产能评报告。</w:t>
      </w:r>
    </w:p>
    <w:p>
      <w:pPr>
        <w:spacing w:after="0"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3.6.2</w:t>
      </w:r>
      <w:r>
        <w:rPr>
          <w:rFonts w:hint="eastAsia" w:ascii="仿宋_GB2312" w:hAnsi="仿宋" w:eastAsia="仿宋_GB2312"/>
          <w:b/>
          <w:bCs/>
          <w:sz w:val="32"/>
          <w:szCs w:val="32"/>
        </w:rPr>
        <w:t>新增设施生产数据的核查</w:t>
      </w:r>
    </w:p>
    <w:p>
      <w:pPr>
        <w:spacing w:after="0" w:line="560" w:lineRule="exact"/>
        <w:ind w:firstLine="630" w:firstLineChars="196"/>
        <w:outlineLvl w:val="0"/>
        <w:rPr>
          <w:rFonts w:ascii="仿宋_GB2312" w:hAnsi="仿宋" w:eastAsia="仿宋_GB2312"/>
          <w:b/>
          <w:sz w:val="32"/>
          <w:szCs w:val="32"/>
        </w:rPr>
      </w:pPr>
      <w:r>
        <w:rPr>
          <w:rFonts w:hint="eastAsia" w:ascii="仿宋_GB2312" w:hAnsi="仿宋" w:eastAsia="仿宋_GB2312"/>
          <w:b/>
          <w:sz w:val="32"/>
          <w:szCs w:val="32"/>
        </w:rPr>
        <w:t>A)报告内容</w:t>
      </w:r>
    </w:p>
    <w:p>
      <w:pPr>
        <w:widowControl w:val="0"/>
        <w:spacing w:after="0" w:line="560" w:lineRule="exact"/>
        <w:ind w:firstLine="643" w:firstLineChars="201"/>
        <w:jc w:val="both"/>
        <w:rPr>
          <w:rFonts w:ascii="仿宋_GB2312" w:hAnsi="仿宋" w:eastAsia="仿宋_GB2312"/>
          <w:sz w:val="32"/>
          <w:szCs w:val="32"/>
        </w:rPr>
      </w:pPr>
      <w:r>
        <w:rPr>
          <w:rFonts w:hint="eastAsia" w:ascii="仿宋_GB2312" w:hAnsi="仿宋" w:eastAsia="仿宋_GB2312"/>
          <w:sz w:val="32"/>
          <w:szCs w:val="32"/>
        </w:rPr>
        <w:t>核查机构应对重点碳排放单位201</w:t>
      </w:r>
      <w:r>
        <w:rPr>
          <w:rFonts w:ascii="仿宋_GB2312" w:hAnsi="仿宋" w:eastAsia="仿宋_GB2312"/>
          <w:sz w:val="32"/>
          <w:szCs w:val="32"/>
        </w:rPr>
        <w:t>9</w:t>
      </w:r>
      <w:r>
        <w:rPr>
          <w:rFonts w:hint="eastAsia" w:ascii="仿宋_GB2312" w:hAnsi="仿宋" w:eastAsia="仿宋_GB2312"/>
          <w:sz w:val="32"/>
          <w:szCs w:val="32"/>
        </w:rPr>
        <w:t>年1月1日后新投产运行的设施的生产数据（如产值、产量、建筑面积、供暖面积和供热量等）进行核查，核查内容包括：单位、来源、监测方法、监测频次、记录频次、数据缺失处理、交叉核对、确认的数值以及核查结论。核查机构对每一个数据的符合性进行报告。</w:t>
      </w:r>
    </w:p>
    <w:p>
      <w:pPr>
        <w:spacing w:after="0" w:line="560" w:lineRule="exact"/>
        <w:ind w:firstLine="630" w:firstLineChars="196"/>
        <w:outlineLvl w:val="0"/>
        <w:rPr>
          <w:rFonts w:ascii="仿宋_GB2312" w:hAnsi="仿宋" w:eastAsia="仿宋_GB2312"/>
          <w:b/>
          <w:sz w:val="32"/>
          <w:szCs w:val="32"/>
        </w:rPr>
      </w:pPr>
      <w:r>
        <w:rPr>
          <w:rFonts w:hint="eastAsia" w:ascii="仿宋_GB2312" w:hAnsi="仿宋" w:eastAsia="仿宋_GB2312"/>
          <w:b/>
          <w:sz w:val="32"/>
          <w:szCs w:val="32"/>
        </w:rPr>
        <w:t>B)核查原则</w:t>
      </w:r>
    </w:p>
    <w:p>
      <w:pPr>
        <w:widowControl w:val="0"/>
        <w:spacing w:after="0" w:line="560" w:lineRule="exact"/>
        <w:ind w:firstLine="640" w:firstLineChars="200"/>
        <w:jc w:val="both"/>
        <w:rPr>
          <w:rFonts w:ascii="仿宋_GB2312" w:hAnsi="仿宋" w:eastAsia="仿宋_GB2312"/>
          <w:sz w:val="32"/>
          <w:szCs w:val="32"/>
          <w:lang w:val="en-US"/>
        </w:rPr>
      </w:pPr>
      <w:r>
        <w:rPr>
          <w:rFonts w:hint="eastAsia" w:ascii="仿宋_GB2312" w:hAnsi="仿宋" w:eastAsia="仿宋_GB2312"/>
          <w:sz w:val="32"/>
          <w:szCs w:val="32"/>
          <w:lang w:val="en-US"/>
        </w:rPr>
        <w:t xml:space="preserve">数据选取采用以下的优先序： </w:t>
      </w:r>
    </w:p>
    <w:p>
      <w:pPr>
        <w:widowControl w:val="0"/>
        <w:spacing w:after="0" w:line="560" w:lineRule="exact"/>
        <w:ind w:firstLine="640" w:firstLineChars="200"/>
        <w:jc w:val="both"/>
        <w:rPr>
          <w:rFonts w:ascii="仿宋_GB2312" w:hAnsi="仿宋" w:eastAsia="仿宋_GB2312"/>
          <w:sz w:val="32"/>
          <w:szCs w:val="32"/>
          <w:lang w:val="en-US"/>
        </w:rPr>
      </w:pPr>
      <w:r>
        <w:rPr>
          <w:rFonts w:hint="eastAsia" w:ascii="仿宋_GB2312" w:hAnsi="仿宋" w:eastAsia="仿宋_GB2312"/>
          <w:sz w:val="32"/>
          <w:szCs w:val="32"/>
          <w:lang w:val="en-US"/>
        </w:rPr>
        <w:t xml:space="preserve">1）新增设施的排放数据和生产数据应分别单独测量获得； </w:t>
      </w:r>
    </w:p>
    <w:p>
      <w:pPr>
        <w:widowControl w:val="0"/>
        <w:spacing w:after="0" w:line="560" w:lineRule="exact"/>
        <w:ind w:firstLine="659" w:firstLineChars="206"/>
        <w:jc w:val="both"/>
        <w:rPr>
          <w:rFonts w:ascii="仿宋_GB2312" w:hAnsi="仿宋" w:eastAsia="仿宋_GB2312"/>
          <w:sz w:val="32"/>
          <w:szCs w:val="32"/>
          <w:lang w:val="en-US"/>
        </w:rPr>
      </w:pPr>
      <w:r>
        <w:rPr>
          <w:rFonts w:hint="eastAsia" w:ascii="仿宋_GB2312" w:hAnsi="仿宋" w:eastAsia="仿宋_GB2312"/>
          <w:sz w:val="32"/>
          <w:szCs w:val="32"/>
          <w:lang w:val="en-US"/>
        </w:rPr>
        <w:t xml:space="preserve">2）如果生产数据无法获得而排放数据可获得，可按照排放数据分摊推算生产数据； </w:t>
      </w:r>
    </w:p>
    <w:p>
      <w:pPr>
        <w:widowControl w:val="0"/>
        <w:spacing w:after="0" w:line="560" w:lineRule="exact"/>
        <w:ind w:firstLine="659" w:firstLineChars="206"/>
        <w:jc w:val="both"/>
        <w:rPr>
          <w:rFonts w:ascii="仿宋_GB2312" w:hAnsi="仿宋" w:eastAsia="仿宋_GB2312"/>
          <w:sz w:val="32"/>
          <w:szCs w:val="32"/>
          <w:lang w:val="en-US"/>
        </w:rPr>
      </w:pPr>
      <w:r>
        <w:rPr>
          <w:rFonts w:hint="eastAsia" w:ascii="仿宋_GB2312" w:hAnsi="仿宋" w:eastAsia="仿宋_GB2312"/>
          <w:sz w:val="32"/>
          <w:szCs w:val="32"/>
          <w:lang w:val="en-US"/>
        </w:rPr>
        <w:t xml:space="preserve">3）如果生产数据可获得而排放数据不可获得，不能按生产数据分摊推算排放数据。排放数据可按照生产负荷或产量等分摊推算； </w:t>
      </w:r>
    </w:p>
    <w:p>
      <w:pPr>
        <w:widowControl w:val="0"/>
        <w:spacing w:after="0" w:line="560" w:lineRule="exact"/>
        <w:ind w:firstLine="659" w:firstLineChars="206"/>
        <w:jc w:val="both"/>
        <w:rPr>
          <w:rFonts w:ascii="仿宋_GB2312" w:hAnsi="仿宋" w:eastAsia="仿宋_GB2312"/>
          <w:sz w:val="32"/>
          <w:szCs w:val="32"/>
          <w:lang w:val="en-US"/>
        </w:rPr>
      </w:pPr>
      <w:r>
        <w:rPr>
          <w:rFonts w:hint="eastAsia" w:ascii="仿宋_GB2312" w:hAnsi="仿宋" w:eastAsia="仿宋_GB2312"/>
          <w:sz w:val="32"/>
          <w:szCs w:val="32"/>
          <w:lang w:val="en-US"/>
        </w:rPr>
        <w:t xml:space="preserve">4）如果排放数据和生产数据都没有单独测量的数据，按照如下原则处理： </w:t>
      </w:r>
    </w:p>
    <w:p>
      <w:pPr>
        <w:widowControl w:val="0"/>
        <w:spacing w:after="0" w:line="560" w:lineRule="exact"/>
        <w:ind w:firstLine="640" w:firstLineChars="200"/>
        <w:jc w:val="both"/>
        <w:rPr>
          <w:rFonts w:ascii="仿宋_GB2312" w:hAnsi="仿宋" w:eastAsia="仿宋_GB2312"/>
          <w:sz w:val="32"/>
          <w:szCs w:val="32"/>
          <w:lang w:val="en-US"/>
        </w:rPr>
      </w:pPr>
      <w:r>
        <w:rPr>
          <w:rFonts w:hint="eastAsia" w:ascii="仿宋_GB2312" w:hAnsi="仿宋" w:eastAsia="仿宋_GB2312"/>
          <w:sz w:val="32"/>
          <w:szCs w:val="32"/>
          <w:lang w:val="en-US"/>
        </w:rPr>
        <w:t xml:space="preserve">-首先估算新增设施的排放数据； </w:t>
      </w:r>
    </w:p>
    <w:p>
      <w:pPr>
        <w:widowControl w:val="0"/>
        <w:spacing w:after="0" w:line="560" w:lineRule="exact"/>
        <w:ind w:firstLine="640" w:firstLineChars="200"/>
        <w:jc w:val="both"/>
        <w:rPr>
          <w:rFonts w:ascii="仿宋_GB2312" w:hAnsi="仿宋" w:eastAsia="仿宋_GB2312"/>
          <w:sz w:val="32"/>
          <w:szCs w:val="32"/>
          <w:lang w:val="en-US"/>
        </w:rPr>
      </w:pPr>
      <w:r>
        <w:rPr>
          <w:rFonts w:ascii="仿宋_GB2312" w:hAnsi="仿宋" w:eastAsia="仿宋_GB2312"/>
          <w:sz w:val="32"/>
          <w:szCs w:val="32"/>
          <w:lang w:val="en-US"/>
        </w:rPr>
        <w:t xml:space="preserve">- </w:t>
      </w:r>
      <w:r>
        <w:rPr>
          <w:rFonts w:hint="eastAsia" w:ascii="仿宋_GB2312" w:hAnsi="仿宋" w:eastAsia="仿宋_GB2312"/>
          <w:sz w:val="32"/>
          <w:szCs w:val="32"/>
          <w:lang w:val="en-US"/>
        </w:rPr>
        <w:t xml:space="preserve">然后按照排放数据分摊推算新增产值的生产数据。 </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3.6.3</w:t>
      </w:r>
      <w:r>
        <w:rPr>
          <w:rFonts w:hint="eastAsia" w:ascii="仿宋_GB2312" w:hAnsi="仿宋" w:eastAsia="仿宋_GB2312"/>
          <w:b/>
          <w:bCs/>
          <w:sz w:val="32"/>
          <w:szCs w:val="32"/>
        </w:rPr>
        <w:t>新增设施排放量的核查</w:t>
      </w:r>
    </w:p>
    <w:p>
      <w:pPr>
        <w:spacing w:after="0" w:line="560" w:lineRule="exact"/>
        <w:ind w:firstLine="659" w:firstLineChars="205"/>
        <w:outlineLvl w:val="0"/>
        <w:rPr>
          <w:rFonts w:ascii="仿宋_GB2312" w:hAnsi="仿宋" w:eastAsia="仿宋_GB2312"/>
          <w:b/>
          <w:sz w:val="32"/>
          <w:szCs w:val="32"/>
        </w:rPr>
      </w:pPr>
      <w:r>
        <w:rPr>
          <w:rFonts w:hint="eastAsia" w:ascii="仿宋_GB2312" w:hAnsi="仿宋" w:eastAsia="仿宋_GB2312"/>
          <w:b/>
          <w:sz w:val="32"/>
          <w:szCs w:val="32"/>
        </w:rPr>
        <w:t>A)报告内容</w:t>
      </w:r>
    </w:p>
    <w:p>
      <w:pPr>
        <w:widowControl w:val="0"/>
        <w:spacing w:after="0" w:line="560" w:lineRule="exact"/>
        <w:ind w:firstLine="643" w:firstLineChars="201"/>
        <w:jc w:val="both"/>
        <w:rPr>
          <w:rFonts w:ascii="仿宋_GB2312" w:hAnsi="仿宋" w:eastAsia="仿宋_GB2312"/>
          <w:sz w:val="32"/>
          <w:szCs w:val="32"/>
        </w:rPr>
      </w:pPr>
      <w:r>
        <w:rPr>
          <w:rFonts w:hint="eastAsia" w:ascii="仿宋_GB2312" w:hAnsi="仿宋" w:eastAsia="仿宋_GB2312"/>
          <w:sz w:val="32"/>
          <w:szCs w:val="32"/>
        </w:rPr>
        <w:t>核查机构应对每一个新增设施的活动水平数据、排放因子以及排放量进行核查。活动水平和排放因子的核查发现可与核查报告中的3.3.2.2和报告中的3.3.2.3相协调，如果前面的核查发现已经描述很详细，这里简要描述一下即可。</w:t>
      </w:r>
    </w:p>
    <w:p>
      <w:pPr>
        <w:spacing w:after="0" w:line="560" w:lineRule="exact"/>
        <w:ind w:firstLine="630" w:firstLineChars="196"/>
        <w:outlineLvl w:val="0"/>
        <w:rPr>
          <w:rFonts w:ascii="仿宋_GB2312" w:hAnsi="仿宋" w:eastAsia="仿宋_GB2312"/>
          <w:b/>
          <w:sz w:val="32"/>
          <w:szCs w:val="32"/>
        </w:rPr>
      </w:pPr>
      <w:r>
        <w:rPr>
          <w:rFonts w:hint="eastAsia" w:ascii="仿宋_GB2312" w:hAnsi="仿宋" w:eastAsia="仿宋_GB2312"/>
          <w:b/>
          <w:sz w:val="32"/>
          <w:szCs w:val="32"/>
        </w:rPr>
        <w:t>B)核查方法</w:t>
      </w:r>
    </w:p>
    <w:p>
      <w:pPr>
        <w:widowControl w:val="0"/>
        <w:spacing w:after="0" w:line="560" w:lineRule="exact"/>
        <w:ind w:firstLine="640" w:firstLineChars="200"/>
        <w:jc w:val="both"/>
        <w:rPr>
          <w:rFonts w:ascii="仿宋_GB2312" w:hAnsi="仿宋" w:eastAsia="仿宋_GB2312"/>
          <w:sz w:val="32"/>
          <w:szCs w:val="32"/>
          <w:lang w:val="en-US"/>
        </w:rPr>
      </w:pPr>
      <w:r>
        <w:rPr>
          <w:rFonts w:hint="eastAsia" w:ascii="仿宋_GB2312" w:hAnsi="仿宋" w:eastAsia="仿宋_GB2312"/>
          <w:sz w:val="32"/>
          <w:szCs w:val="32"/>
        </w:rPr>
        <w:t>同对既有设施的核查。</w:t>
      </w:r>
    </w:p>
    <w:p>
      <w:pPr>
        <w:spacing w:after="0" w:line="560" w:lineRule="exact"/>
        <w:ind w:firstLine="659" w:firstLineChars="205"/>
        <w:rPr>
          <w:rFonts w:ascii="仿宋_GB2312" w:hAnsi="仿宋" w:eastAsia="仿宋_GB2312"/>
          <w:b/>
          <w:sz w:val="32"/>
          <w:szCs w:val="32"/>
          <w:lang w:val="en-US"/>
        </w:rPr>
      </w:pPr>
      <w:r>
        <w:rPr>
          <w:rFonts w:hint="eastAsia" w:ascii="仿宋_GB2312" w:hAnsi="仿宋" w:eastAsia="仿宋_GB2312"/>
          <w:b/>
          <w:sz w:val="32"/>
          <w:szCs w:val="32"/>
        </w:rPr>
        <w:t>3.6.4</w:t>
      </w:r>
      <w:r>
        <w:rPr>
          <w:rFonts w:hint="eastAsia" w:ascii="仿宋_GB2312" w:hAnsi="仿宋" w:eastAsia="仿宋_GB2312"/>
          <w:b/>
          <w:bCs/>
          <w:sz w:val="32"/>
          <w:szCs w:val="32"/>
        </w:rPr>
        <w:t>新增设施排放强度的核查</w:t>
      </w:r>
    </w:p>
    <w:p>
      <w:pPr>
        <w:spacing w:after="0" w:line="560" w:lineRule="exact"/>
        <w:ind w:firstLine="659" w:firstLineChars="205"/>
        <w:jc w:val="both"/>
        <w:outlineLvl w:val="0"/>
        <w:rPr>
          <w:rFonts w:ascii="仿宋_GB2312" w:hAnsi="仿宋" w:eastAsia="仿宋_GB2312"/>
          <w:b/>
          <w:sz w:val="32"/>
          <w:szCs w:val="32"/>
        </w:rPr>
      </w:pPr>
      <w:r>
        <w:rPr>
          <w:rFonts w:hint="eastAsia" w:ascii="仿宋_GB2312" w:hAnsi="仿宋" w:eastAsia="仿宋_GB2312"/>
          <w:b/>
          <w:sz w:val="32"/>
          <w:szCs w:val="32"/>
        </w:rPr>
        <w:t>A)报告内容</w:t>
      </w:r>
    </w:p>
    <w:p>
      <w:pPr>
        <w:widowControl w:val="0"/>
        <w:spacing w:after="0" w:line="560" w:lineRule="exact"/>
        <w:ind w:firstLine="643" w:firstLineChars="201"/>
        <w:jc w:val="both"/>
        <w:rPr>
          <w:rFonts w:ascii="仿宋_GB2312" w:hAnsi="仿宋" w:eastAsia="仿宋_GB2312"/>
          <w:sz w:val="32"/>
          <w:szCs w:val="32"/>
        </w:rPr>
      </w:pPr>
      <w:r>
        <w:rPr>
          <w:rFonts w:hint="eastAsia" w:ascii="仿宋_GB2312" w:hAnsi="仿宋" w:eastAsia="仿宋_GB2312"/>
          <w:sz w:val="32"/>
          <w:szCs w:val="32"/>
        </w:rPr>
        <w:t>核查机构应对新增设施的排放强度进行核查。核查机构应详细报告排放强度计算过程。</w:t>
      </w:r>
    </w:p>
    <w:p>
      <w:pPr>
        <w:widowControl w:val="0"/>
        <w:spacing w:after="0" w:line="560" w:lineRule="exact"/>
        <w:ind w:firstLine="643" w:firstLineChars="201"/>
        <w:jc w:val="both"/>
        <w:rPr>
          <w:rFonts w:ascii="仿宋_GB2312" w:hAnsi="仿宋" w:eastAsia="仿宋_GB2312"/>
          <w:sz w:val="32"/>
          <w:szCs w:val="32"/>
        </w:rPr>
      </w:pPr>
      <w:r>
        <w:rPr>
          <w:rFonts w:hint="eastAsia" w:ascii="仿宋_GB2312" w:hAnsi="仿宋" w:eastAsia="仿宋_GB2312"/>
          <w:sz w:val="32"/>
          <w:szCs w:val="32"/>
        </w:rPr>
        <w:t>（计算方法：排放强度＝所有新增设施的直接排放和间接排放／所有新增设施对应的生产数据）。</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B)核查方法</w:t>
      </w:r>
    </w:p>
    <w:p>
      <w:pPr>
        <w:widowControl w:val="0"/>
        <w:spacing w:after="0" w:line="560" w:lineRule="exact"/>
        <w:ind w:firstLine="640" w:firstLineChars="200"/>
        <w:jc w:val="both"/>
        <w:rPr>
          <w:rFonts w:ascii="仿宋_GB2312" w:hAnsi="仿宋" w:eastAsia="仿宋_GB2312"/>
          <w:sz w:val="32"/>
          <w:szCs w:val="32"/>
          <w:lang w:val="en-US"/>
        </w:rPr>
      </w:pPr>
      <w:r>
        <w:rPr>
          <w:rFonts w:hint="eastAsia" w:ascii="仿宋_GB2312" w:hAnsi="仿宋" w:eastAsia="仿宋_GB2312"/>
          <w:sz w:val="32"/>
          <w:szCs w:val="32"/>
        </w:rPr>
        <w:t>验算计算过程。</w:t>
      </w:r>
    </w:p>
    <w:p>
      <w:pPr>
        <w:spacing w:after="0" w:line="560" w:lineRule="exact"/>
        <w:ind w:firstLine="659" w:firstLineChars="205"/>
        <w:rPr>
          <w:rFonts w:ascii="仿宋_GB2312" w:hAnsi="仿宋" w:eastAsia="仿宋_GB2312"/>
          <w:b/>
          <w:sz w:val="32"/>
          <w:szCs w:val="32"/>
          <w:lang w:val="en-US"/>
        </w:rPr>
      </w:pPr>
      <w:r>
        <w:rPr>
          <w:rFonts w:hint="eastAsia" w:ascii="仿宋_GB2312" w:hAnsi="仿宋" w:eastAsia="仿宋_GB2312"/>
          <w:b/>
          <w:sz w:val="32"/>
          <w:szCs w:val="32"/>
        </w:rPr>
        <w:t>3.6.5</w:t>
      </w:r>
      <w:r>
        <w:rPr>
          <w:rFonts w:hint="eastAsia" w:ascii="仿宋_GB2312" w:hAnsi="仿宋" w:eastAsia="仿宋_GB2312"/>
          <w:b/>
          <w:bCs/>
          <w:sz w:val="32"/>
          <w:szCs w:val="32"/>
        </w:rPr>
        <w:t>新增设施替代既有设施的核查</w:t>
      </w:r>
    </w:p>
    <w:p>
      <w:pPr>
        <w:spacing w:after="0" w:line="560" w:lineRule="exact"/>
        <w:ind w:firstLine="659" w:firstLineChars="205"/>
        <w:outlineLvl w:val="0"/>
        <w:rPr>
          <w:rFonts w:ascii="仿宋_GB2312" w:hAnsi="仿宋" w:eastAsia="仿宋_GB2312"/>
          <w:b/>
          <w:sz w:val="32"/>
          <w:szCs w:val="32"/>
        </w:rPr>
      </w:pPr>
      <w:r>
        <w:rPr>
          <w:rFonts w:hint="eastAsia" w:ascii="仿宋_GB2312" w:hAnsi="仿宋" w:eastAsia="仿宋_GB2312"/>
          <w:b/>
          <w:sz w:val="32"/>
          <w:szCs w:val="32"/>
        </w:rPr>
        <w:t>A)报告内容</w:t>
      </w:r>
    </w:p>
    <w:p>
      <w:pPr>
        <w:widowControl w:val="0"/>
        <w:spacing w:after="0" w:line="560" w:lineRule="exact"/>
        <w:ind w:firstLine="643" w:firstLineChars="201"/>
        <w:jc w:val="both"/>
        <w:rPr>
          <w:rFonts w:ascii="仿宋_GB2312" w:hAnsi="仿宋" w:eastAsia="仿宋_GB2312"/>
          <w:sz w:val="32"/>
          <w:szCs w:val="32"/>
        </w:rPr>
      </w:pPr>
      <w:r>
        <w:rPr>
          <w:rFonts w:hint="eastAsia" w:ascii="仿宋_GB2312" w:hAnsi="仿宋" w:eastAsia="仿宋_GB2312"/>
          <w:sz w:val="32"/>
          <w:szCs w:val="32"/>
        </w:rPr>
        <w:t>核查机构应对新增设施中那些对既有设施替代的新增设施进行核查。核查内容包括设施的基本信息、替代既有设备的情况、排放量。如有既有设施退出，也应在本节中详细描述核查发现。</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B)核查方法</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查阅新增设施的可研和环评批复文件确认是否属于替代既有设施；</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现场观察设施；</w:t>
      </w:r>
    </w:p>
    <w:p>
      <w:pPr>
        <w:widowControl w:val="0"/>
        <w:numPr>
          <w:ilvl w:val="0"/>
          <w:numId w:val="22"/>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验算排放量的计算过程</w:t>
      </w:r>
    </w:p>
    <w:p>
      <w:pPr>
        <w:spacing w:after="0" w:line="560" w:lineRule="exact"/>
        <w:ind w:firstLine="768" w:firstLineChars="239"/>
        <w:rPr>
          <w:rFonts w:ascii="仿宋_GB2312" w:hAnsi="仿宋" w:eastAsia="仿宋_GB2312"/>
          <w:b/>
          <w:sz w:val="32"/>
          <w:szCs w:val="32"/>
        </w:rPr>
      </w:pPr>
      <w:r>
        <w:rPr>
          <w:rFonts w:hint="eastAsia" w:ascii="仿宋_GB2312" w:hAnsi="仿宋" w:eastAsia="仿宋_GB2312"/>
          <w:b/>
          <w:sz w:val="32"/>
          <w:szCs w:val="32"/>
        </w:rPr>
        <w:t>3.6.6既有设施退出的核查</w:t>
      </w:r>
    </w:p>
    <w:p>
      <w:pPr>
        <w:spacing w:after="0" w:line="560" w:lineRule="exact"/>
        <w:ind w:firstLine="768" w:firstLineChars="239"/>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764" w:firstLineChars="239"/>
        <w:jc w:val="both"/>
        <w:rPr>
          <w:rFonts w:ascii="仿宋_GB2312" w:hAnsi="仿宋" w:eastAsia="仿宋_GB2312"/>
          <w:sz w:val="32"/>
          <w:szCs w:val="32"/>
        </w:rPr>
      </w:pPr>
      <w:r>
        <w:rPr>
          <w:rFonts w:hint="eastAsia" w:ascii="仿宋_GB2312" w:hAnsi="仿宋" w:eastAsia="仿宋_GB2312"/>
          <w:sz w:val="32"/>
          <w:szCs w:val="32"/>
        </w:rPr>
        <w:t>核查机构应对既有设施退出进行核查。核查内容包括既有设施退出的基本信息及在历史基准年及上一年度的排放量和</w:t>
      </w:r>
      <w:r>
        <w:rPr>
          <w:rFonts w:ascii="仿宋_GB2312" w:hAnsi="仿宋" w:eastAsia="仿宋_GB2312"/>
          <w:sz w:val="32"/>
          <w:szCs w:val="32"/>
        </w:rPr>
        <w:t>排放强度</w:t>
      </w:r>
      <w:r>
        <w:rPr>
          <w:rFonts w:hint="eastAsia" w:ascii="仿宋_GB2312" w:hAnsi="仿宋" w:eastAsia="仿宋_GB2312"/>
          <w:sz w:val="32"/>
          <w:szCs w:val="32"/>
        </w:rPr>
        <w:t>。</w:t>
      </w:r>
    </w:p>
    <w:p>
      <w:pPr>
        <w:spacing w:after="0" w:line="560" w:lineRule="exact"/>
        <w:ind w:firstLine="768" w:firstLineChars="239"/>
        <w:rPr>
          <w:rFonts w:ascii="仿宋_GB2312" w:hAnsi="仿宋" w:eastAsia="仿宋_GB2312"/>
          <w:b/>
          <w:sz w:val="32"/>
          <w:szCs w:val="32"/>
        </w:rPr>
      </w:pPr>
      <w:r>
        <w:rPr>
          <w:rFonts w:hint="eastAsia" w:ascii="仿宋_GB2312" w:hAnsi="仿宋" w:eastAsia="仿宋_GB2312"/>
          <w:b/>
          <w:sz w:val="32"/>
          <w:szCs w:val="32"/>
        </w:rPr>
        <w:t>B)核查方法</w:t>
      </w:r>
    </w:p>
    <w:p>
      <w:pPr>
        <w:spacing w:after="0" w:line="560" w:lineRule="exact"/>
        <w:ind w:firstLine="764" w:firstLineChars="239"/>
        <w:rPr>
          <w:rFonts w:ascii="仿宋_GB2312" w:hAnsi="仿宋" w:eastAsia="仿宋_GB2312"/>
          <w:sz w:val="32"/>
          <w:szCs w:val="32"/>
        </w:rPr>
      </w:pPr>
      <w:r>
        <w:rPr>
          <w:rFonts w:ascii="仿宋_GB2312" w:hAnsi="仿宋" w:eastAsia="仿宋_GB2312"/>
          <w:sz w:val="32"/>
          <w:szCs w:val="32"/>
        </w:rPr>
        <w:t>-</w:t>
      </w:r>
      <w:r>
        <w:rPr>
          <w:rFonts w:eastAsia="仿宋_GB2312" w:cs="Calibri"/>
          <w:sz w:val="32"/>
          <w:szCs w:val="32"/>
        </w:rPr>
        <w:t>      </w:t>
      </w:r>
      <w:r>
        <w:rPr>
          <w:rFonts w:ascii="仿宋_GB2312" w:hAnsi="仿宋" w:eastAsia="仿宋_GB2312"/>
          <w:sz w:val="32"/>
          <w:szCs w:val="32"/>
        </w:rPr>
        <w:t xml:space="preserve"> 查阅设施、设备管理台账、企业运行情况统计与说明等；</w:t>
      </w:r>
    </w:p>
    <w:p>
      <w:pPr>
        <w:spacing w:after="0" w:line="560" w:lineRule="exact"/>
        <w:ind w:firstLine="764" w:firstLineChars="239"/>
        <w:rPr>
          <w:rFonts w:ascii="仿宋_GB2312" w:hAnsi="仿宋" w:eastAsia="仿宋_GB2312"/>
          <w:sz w:val="32"/>
          <w:szCs w:val="32"/>
        </w:rPr>
      </w:pPr>
      <w:r>
        <w:rPr>
          <w:rFonts w:ascii="仿宋_GB2312" w:hAnsi="仿宋" w:eastAsia="仿宋_GB2312"/>
          <w:sz w:val="32"/>
          <w:szCs w:val="32"/>
        </w:rPr>
        <w:t>-</w:t>
      </w:r>
      <w:r>
        <w:rPr>
          <w:rFonts w:eastAsia="仿宋_GB2312" w:cs="Calibri"/>
          <w:sz w:val="32"/>
          <w:szCs w:val="32"/>
        </w:rPr>
        <w:t>      </w:t>
      </w:r>
      <w:r>
        <w:rPr>
          <w:rFonts w:ascii="仿宋_GB2312" w:hAnsi="仿宋" w:eastAsia="仿宋_GB2312"/>
          <w:sz w:val="32"/>
          <w:szCs w:val="32"/>
        </w:rPr>
        <w:t xml:space="preserve"> 现场观察；</w:t>
      </w:r>
    </w:p>
    <w:p>
      <w:pPr>
        <w:spacing w:after="0" w:line="560" w:lineRule="exact"/>
        <w:ind w:firstLine="764" w:firstLineChars="239"/>
        <w:rPr>
          <w:rFonts w:ascii="仿宋_GB2312" w:hAnsi="仿宋" w:eastAsia="仿宋_GB2312"/>
          <w:sz w:val="32"/>
          <w:szCs w:val="32"/>
        </w:rPr>
      </w:pPr>
      <w:r>
        <w:rPr>
          <w:rFonts w:ascii="仿宋_GB2312" w:hAnsi="仿宋" w:eastAsia="仿宋_GB2312"/>
          <w:sz w:val="32"/>
          <w:szCs w:val="32"/>
        </w:rPr>
        <w:t>-</w:t>
      </w:r>
      <w:r>
        <w:rPr>
          <w:rFonts w:eastAsia="仿宋_GB2312" w:cs="Calibri"/>
          <w:sz w:val="32"/>
          <w:szCs w:val="32"/>
        </w:rPr>
        <w:t>      </w:t>
      </w:r>
      <w:r>
        <w:rPr>
          <w:rFonts w:ascii="仿宋_GB2312" w:hAnsi="仿宋" w:eastAsia="仿宋_GB2312"/>
          <w:sz w:val="32"/>
          <w:szCs w:val="32"/>
        </w:rPr>
        <w:t xml:space="preserve"> 验算既有设施退出</w:t>
      </w:r>
      <w:r>
        <w:rPr>
          <w:rFonts w:hint="eastAsia" w:ascii="仿宋_GB2312" w:hAnsi="仿宋" w:eastAsia="仿宋_GB2312"/>
          <w:sz w:val="32"/>
          <w:szCs w:val="32"/>
        </w:rPr>
        <w:t>在</w:t>
      </w:r>
      <w:r>
        <w:rPr>
          <w:rFonts w:ascii="仿宋_GB2312" w:hAnsi="仿宋" w:eastAsia="仿宋_GB2312"/>
          <w:sz w:val="32"/>
          <w:szCs w:val="32"/>
        </w:rPr>
        <w:t>历史</w:t>
      </w:r>
      <w:r>
        <w:rPr>
          <w:rFonts w:hint="eastAsia" w:ascii="仿宋_GB2312" w:hAnsi="仿宋" w:eastAsia="仿宋_GB2312"/>
          <w:sz w:val="32"/>
          <w:szCs w:val="32"/>
        </w:rPr>
        <w:t>基准年排放量和</w:t>
      </w:r>
      <w:r>
        <w:rPr>
          <w:rFonts w:ascii="仿宋_GB2312" w:hAnsi="仿宋" w:eastAsia="仿宋_GB2312"/>
          <w:sz w:val="32"/>
          <w:szCs w:val="32"/>
        </w:rPr>
        <w:t>排放强度等</w:t>
      </w:r>
      <w:r>
        <w:rPr>
          <w:rFonts w:hint="eastAsia" w:ascii="仿宋_GB2312" w:hAnsi="仿宋" w:eastAsia="仿宋_GB2312"/>
          <w:sz w:val="32"/>
          <w:szCs w:val="32"/>
        </w:rPr>
        <w:t>的计算过程。</w:t>
      </w:r>
    </w:p>
    <w:p>
      <w:pPr>
        <w:spacing w:after="0" w:line="560" w:lineRule="exact"/>
        <w:ind w:firstLine="768" w:firstLineChars="239"/>
        <w:rPr>
          <w:rFonts w:ascii="仿宋_GB2312" w:hAnsi="仿宋" w:eastAsia="仿宋_GB2312"/>
          <w:b/>
          <w:sz w:val="32"/>
          <w:szCs w:val="32"/>
        </w:rPr>
      </w:pPr>
      <w:r>
        <w:rPr>
          <w:rFonts w:hint="eastAsia" w:ascii="仿宋_GB2312" w:hAnsi="仿宋" w:eastAsia="仿宋_GB2312"/>
          <w:b/>
          <w:sz w:val="32"/>
          <w:szCs w:val="32"/>
        </w:rPr>
        <w:t>3.7 未来二氧化碳控制措施的核查</w:t>
      </w:r>
    </w:p>
    <w:p>
      <w:pPr>
        <w:spacing w:after="0" w:line="560" w:lineRule="exact"/>
        <w:ind w:firstLine="768" w:firstLineChars="239"/>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核查机构应对重点碳排放单位描述的未来</w:t>
      </w:r>
      <w:r>
        <w:rPr>
          <w:rFonts w:ascii="仿宋_GB2312" w:hAnsi="仿宋" w:eastAsia="仿宋_GB2312"/>
          <w:sz w:val="32"/>
          <w:szCs w:val="32"/>
        </w:rPr>
        <w:t>3～5年二氧化碳控制措施</w:t>
      </w:r>
      <w:r>
        <w:rPr>
          <w:rFonts w:hint="eastAsia" w:ascii="仿宋_GB2312" w:hAnsi="仿宋" w:eastAsia="仿宋_GB2312"/>
          <w:sz w:val="32"/>
          <w:szCs w:val="32"/>
        </w:rPr>
        <w:t>特别是针对碳排放达峰和碳中和等方面采取的计划或规划等情况进行核查，并核查采用控制措施情况下和未采用控制措施情况下未来</w:t>
      </w:r>
      <w:r>
        <w:rPr>
          <w:rFonts w:ascii="仿宋_GB2312" w:hAnsi="仿宋" w:eastAsia="仿宋_GB2312"/>
          <w:sz w:val="32"/>
          <w:szCs w:val="32"/>
        </w:rPr>
        <w:t>3～5年每年的二氧化碳排放量的预估结果。</w:t>
      </w:r>
      <w:r>
        <w:rPr>
          <w:rFonts w:hint="eastAsia" w:ascii="仿宋_GB2312" w:hAnsi="仿宋" w:eastAsia="仿宋_GB2312"/>
          <w:sz w:val="32"/>
          <w:szCs w:val="32"/>
        </w:rPr>
        <w:t>核查机构应对上年度提交的二氧化碳控制措施的实施情况进行核查。报告内容应包含：</w:t>
      </w:r>
    </w:p>
    <w:p>
      <w:pPr>
        <w:widowControl w:val="0"/>
        <w:numPr>
          <w:ilvl w:val="0"/>
          <w:numId w:val="23"/>
        </w:numPr>
        <w:spacing w:after="0" w:line="560" w:lineRule="exact"/>
        <w:ind w:left="851" w:hanging="291"/>
        <w:jc w:val="both"/>
        <w:rPr>
          <w:rFonts w:ascii="仿宋_GB2312" w:hAnsi="仿宋" w:eastAsia="仿宋_GB2312"/>
          <w:sz w:val="32"/>
          <w:szCs w:val="32"/>
        </w:rPr>
      </w:pPr>
      <w:r>
        <w:rPr>
          <w:rFonts w:hint="eastAsia" w:ascii="仿宋_GB2312" w:hAnsi="仿宋" w:eastAsia="仿宋_GB2312"/>
          <w:sz w:val="32"/>
          <w:szCs w:val="32"/>
        </w:rPr>
        <w:t>控制措施的内容及其与法规的符合性；</w:t>
      </w:r>
    </w:p>
    <w:p>
      <w:pPr>
        <w:widowControl w:val="0"/>
        <w:numPr>
          <w:ilvl w:val="0"/>
          <w:numId w:val="23"/>
        </w:numPr>
        <w:spacing w:after="0" w:line="560" w:lineRule="exact"/>
        <w:ind w:left="851" w:hanging="291"/>
        <w:jc w:val="both"/>
        <w:rPr>
          <w:rFonts w:ascii="仿宋_GB2312" w:hAnsi="仿宋" w:eastAsia="仿宋_GB2312"/>
          <w:sz w:val="32"/>
          <w:szCs w:val="32"/>
        </w:rPr>
      </w:pPr>
      <w:r>
        <w:rPr>
          <w:rFonts w:hint="eastAsia" w:ascii="仿宋_GB2312" w:hAnsi="仿宋" w:eastAsia="仿宋_GB2312"/>
          <w:sz w:val="32"/>
          <w:szCs w:val="32"/>
        </w:rPr>
        <w:t>采用控制措施情况下未来3～5年每年的二氧化碳排放量的预估过程及计算是否正确；</w:t>
      </w:r>
    </w:p>
    <w:p>
      <w:pPr>
        <w:widowControl w:val="0"/>
        <w:numPr>
          <w:ilvl w:val="0"/>
          <w:numId w:val="23"/>
        </w:numPr>
        <w:spacing w:after="0" w:line="560" w:lineRule="exact"/>
        <w:ind w:left="851" w:hanging="291"/>
        <w:jc w:val="both"/>
        <w:rPr>
          <w:rFonts w:ascii="仿宋_GB2312" w:hAnsi="仿宋" w:eastAsia="仿宋_GB2312"/>
          <w:sz w:val="32"/>
          <w:szCs w:val="32"/>
        </w:rPr>
      </w:pPr>
      <w:r>
        <w:rPr>
          <w:rFonts w:hint="eastAsia" w:ascii="仿宋_GB2312" w:hAnsi="仿宋" w:eastAsia="仿宋_GB2312"/>
          <w:sz w:val="32"/>
          <w:szCs w:val="32"/>
        </w:rPr>
        <w:t>未采用控制措施情况下未来3～5年每年的二氧化碳排放量的预估过程及计算是否正确；</w:t>
      </w:r>
    </w:p>
    <w:p>
      <w:pPr>
        <w:widowControl w:val="0"/>
        <w:numPr>
          <w:ilvl w:val="0"/>
          <w:numId w:val="23"/>
        </w:numPr>
        <w:spacing w:after="0" w:line="560" w:lineRule="exact"/>
        <w:ind w:left="851" w:hanging="291"/>
        <w:jc w:val="both"/>
        <w:rPr>
          <w:rFonts w:ascii="仿宋_GB2312" w:hAnsi="仿宋" w:eastAsia="仿宋_GB2312"/>
          <w:sz w:val="32"/>
          <w:szCs w:val="32"/>
        </w:rPr>
      </w:pPr>
      <w:r>
        <w:rPr>
          <w:rFonts w:hint="eastAsia" w:ascii="仿宋_GB2312" w:hAnsi="仿宋" w:eastAsia="仿宋_GB2312"/>
          <w:sz w:val="32"/>
          <w:szCs w:val="32"/>
        </w:rPr>
        <w:t>上年度提交的二氧化碳控制措施的实施情况。</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B）核查方法</w:t>
      </w:r>
    </w:p>
    <w:p>
      <w:pPr>
        <w:widowControl w:val="0"/>
        <w:numPr>
          <w:ilvl w:val="0"/>
          <w:numId w:val="24"/>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与管理人员及二氧化碳和能源管理人员交谈；</w:t>
      </w:r>
    </w:p>
    <w:p>
      <w:pPr>
        <w:widowControl w:val="0"/>
        <w:numPr>
          <w:ilvl w:val="0"/>
          <w:numId w:val="24"/>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查阅能源审计等相关报告中的节能措施；</w:t>
      </w:r>
    </w:p>
    <w:p>
      <w:pPr>
        <w:widowControl w:val="0"/>
        <w:numPr>
          <w:ilvl w:val="0"/>
          <w:numId w:val="24"/>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利用EXCEL表格验算排放量的估算。</w:t>
      </w:r>
    </w:p>
    <w:p>
      <w:pPr>
        <w:widowControl w:val="0"/>
        <w:spacing w:after="0" w:line="560" w:lineRule="exact"/>
        <w:ind w:left="420" w:firstLine="144" w:firstLineChars="45"/>
        <w:jc w:val="both"/>
        <w:rPr>
          <w:rFonts w:ascii="仿宋_GB2312" w:hAnsi="仿宋" w:eastAsia="仿宋_GB2312"/>
          <w:sz w:val="32"/>
          <w:szCs w:val="32"/>
        </w:rPr>
      </w:pPr>
    </w:p>
    <w:p>
      <w:pPr>
        <w:widowControl w:val="0"/>
        <w:spacing w:after="0" w:line="560" w:lineRule="exact"/>
        <w:ind w:left="420" w:firstLine="145" w:firstLineChars="45"/>
        <w:jc w:val="both"/>
        <w:rPr>
          <w:rFonts w:ascii="仿宋_GB2312" w:hAnsi="仿宋" w:eastAsia="仿宋_GB2312"/>
          <w:b/>
          <w:sz w:val="32"/>
          <w:szCs w:val="32"/>
        </w:rPr>
      </w:pPr>
      <w:r>
        <w:rPr>
          <w:rFonts w:hint="eastAsia" w:ascii="仿宋_GB2312" w:hAnsi="仿宋" w:eastAsia="仿宋_GB2312"/>
          <w:b/>
          <w:sz w:val="32"/>
          <w:szCs w:val="32"/>
        </w:rPr>
        <w:t>3.8对监测计划的核查</w:t>
      </w:r>
    </w:p>
    <w:p>
      <w:pPr>
        <w:widowControl w:val="0"/>
        <w:spacing w:after="0" w:line="560" w:lineRule="exact"/>
        <w:ind w:left="567"/>
        <w:jc w:val="both"/>
        <w:outlineLvl w:val="0"/>
        <w:rPr>
          <w:rFonts w:ascii="仿宋_GB2312" w:hAnsi="仿宋" w:eastAsia="仿宋_GB2312"/>
          <w:sz w:val="32"/>
          <w:szCs w:val="32"/>
        </w:rPr>
      </w:pPr>
      <w:r>
        <w:rPr>
          <w:rFonts w:hint="eastAsia" w:ascii="仿宋_GB2312" w:hAnsi="仿宋" w:eastAsia="仿宋_GB2312"/>
          <w:sz w:val="32"/>
          <w:szCs w:val="32"/>
        </w:rPr>
        <w:t>A）报告内容</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核查机构应对重点碳排放单位的监测计划进行核查,确认根据适用的地方标准或核算和报告指南要求建立的监测计划合理性和执行情况，并报告如下的核查发现，格式参考下表：</w:t>
      </w:r>
    </w:p>
    <w:p>
      <w:pPr>
        <w:widowControl w:val="0"/>
        <w:numPr>
          <w:ilvl w:val="0"/>
          <w:numId w:val="2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监测计划版本及修订情况符合性的核查发现；</w:t>
      </w:r>
    </w:p>
    <w:p>
      <w:pPr>
        <w:widowControl w:val="0"/>
        <w:numPr>
          <w:ilvl w:val="0"/>
          <w:numId w:val="2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报告主体描述符合性的核查发现；</w:t>
      </w:r>
    </w:p>
    <w:p>
      <w:pPr>
        <w:widowControl w:val="0"/>
        <w:numPr>
          <w:ilvl w:val="0"/>
          <w:numId w:val="2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核算边界和主要排放设施描述符合性的核查发现；</w:t>
      </w:r>
    </w:p>
    <w:p>
      <w:pPr>
        <w:widowControl w:val="0"/>
        <w:numPr>
          <w:ilvl w:val="0"/>
          <w:numId w:val="2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各个活动数据和排放因子获取方式符合性的核查发现；</w:t>
      </w:r>
    </w:p>
    <w:p>
      <w:pPr>
        <w:widowControl w:val="0"/>
        <w:numPr>
          <w:ilvl w:val="0"/>
          <w:numId w:val="2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数据内部质量控制和质量保证相关规定符合性的核查发现；</w:t>
      </w:r>
    </w:p>
    <w:p>
      <w:pPr>
        <w:widowControl w:val="0"/>
        <w:numPr>
          <w:ilvl w:val="0"/>
          <w:numId w:val="2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上一年度监测计划的合理性和核查年度监测计划的执行情况核查发现；</w:t>
      </w:r>
    </w:p>
    <w:p>
      <w:pPr>
        <w:widowControl w:val="0"/>
        <w:numPr>
          <w:ilvl w:val="0"/>
          <w:numId w:val="25"/>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核查年度的下一年度监测计划合理性的核查发现；</w:t>
      </w:r>
    </w:p>
    <w:tbl>
      <w:tblPr>
        <w:tblStyle w:val="35"/>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3"/>
        <w:gridCol w:w="7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663" w:type="dxa"/>
            <w:shd w:val="clear" w:color="auto" w:fill="D8D8D8" w:themeFill="background1" w:themeFillShade="D9"/>
            <w:vAlign w:val="center"/>
          </w:tcPr>
          <w:p>
            <w:pPr>
              <w:keepNext w:val="0"/>
              <w:keepLines w:val="0"/>
              <w:pageBreakBefore w:val="0"/>
              <w:widowControl/>
              <w:tabs>
                <w:tab w:val="left" w:pos="3960"/>
                <w:tab w:val="left" w:pos="4140"/>
              </w:tabs>
              <w:kinsoku/>
              <w:wordWrap/>
              <w:overflowPunct/>
              <w:topLinePunct w:val="0"/>
              <w:autoSpaceDE/>
              <w:autoSpaceDN/>
              <w:bidi w:val="0"/>
              <w:adjustRightInd/>
              <w:snapToGrid w:val="0"/>
              <w:spacing w:before="156" w:beforeLines="50" w:after="0" w:line="300" w:lineRule="auto"/>
              <w:ind w:firstLine="0" w:firstLineChars="0"/>
              <w:textAlignment w:val="auto"/>
              <w:rPr>
                <w:rFonts w:eastAsia="仿宋"/>
                <w:b/>
                <w:sz w:val="24"/>
                <w:szCs w:val="24"/>
              </w:rPr>
            </w:pPr>
            <w:r>
              <w:rPr>
                <w:rFonts w:eastAsia="仿宋"/>
                <w:b/>
                <w:sz w:val="24"/>
                <w:szCs w:val="24"/>
              </w:rPr>
              <w:t>监测计划版本的符合性</w:t>
            </w:r>
          </w:p>
        </w:tc>
        <w:tc>
          <w:tcPr>
            <w:tcW w:w="7804" w:type="dxa"/>
            <w:vAlign w:val="center"/>
          </w:tcPr>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eastAsia="仿宋"/>
                <w:sz w:val="24"/>
                <w:szCs w:val="24"/>
              </w:rPr>
              <w:t>最终版本与实际情况符合情况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eastAsia="仿宋"/>
                <w:sz w:val="24"/>
                <w:szCs w:val="24"/>
              </w:rPr>
              <w:t>发布或修改时间与实际情况相符合情况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adjustRightInd w:val="0"/>
              <w:snapToGrid w:val="0"/>
              <w:spacing w:after="0" w:line="300" w:lineRule="auto"/>
              <w:ind w:firstLine="480" w:firstLineChars="200"/>
              <w:textAlignment w:val="auto"/>
              <w:rPr>
                <w:rFonts w:eastAsia="仿宋"/>
                <w:sz w:val="24"/>
                <w:szCs w:val="24"/>
              </w:rPr>
            </w:pPr>
            <w:r>
              <w:rPr>
                <w:rFonts w:eastAsia="仿宋"/>
                <w:sz w:val="24"/>
                <w:szCs w:val="24"/>
              </w:rPr>
              <w:t>发布或修改的内容满足适用地方标准或核算和报告指南要求情况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adjustRightInd w:val="0"/>
              <w:snapToGrid w:val="0"/>
              <w:spacing w:after="0" w:line="300" w:lineRule="auto"/>
              <w:ind w:firstLine="480" w:firstLineChars="200"/>
              <w:textAlignment w:val="auto"/>
              <w:rPr>
                <w:rFonts w:eastAsia="仿宋"/>
                <w:bCs/>
                <w:sz w:val="24"/>
                <w:szCs w:val="24"/>
              </w:rPr>
            </w:pPr>
            <w:r>
              <w:rPr>
                <w:rFonts w:eastAsia="仿宋"/>
                <w:sz w:val="24"/>
                <w:szCs w:val="24"/>
              </w:rPr>
              <w:t>若否，需要详细说明并</w:t>
            </w:r>
            <w:r>
              <w:rPr>
                <w:rFonts w:hint="eastAsia" w:eastAsia="仿宋"/>
                <w:sz w:val="24"/>
                <w:szCs w:val="24"/>
              </w:rPr>
              <w:t>简要描述不符合(如有),详细描述及纠正措施链接核查报告附件1）。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1" w:hRule="atLeast"/>
          <w:jc w:val="center"/>
        </w:trPr>
        <w:tc>
          <w:tcPr>
            <w:tcW w:w="1663" w:type="dxa"/>
            <w:shd w:val="clear" w:color="auto" w:fill="D8D8D8" w:themeFill="background1" w:themeFillShade="D9"/>
            <w:vAlign w:val="center"/>
          </w:tcPr>
          <w:p>
            <w:pPr>
              <w:keepNext w:val="0"/>
              <w:keepLines w:val="0"/>
              <w:pageBreakBefore w:val="0"/>
              <w:widowControl/>
              <w:tabs>
                <w:tab w:val="left" w:pos="3960"/>
                <w:tab w:val="left" w:pos="4140"/>
              </w:tabs>
              <w:kinsoku/>
              <w:wordWrap/>
              <w:overflowPunct/>
              <w:topLinePunct w:val="0"/>
              <w:autoSpaceDE/>
              <w:autoSpaceDN/>
              <w:bidi w:val="0"/>
              <w:adjustRightInd/>
              <w:snapToGrid w:val="0"/>
              <w:spacing w:before="156" w:beforeLines="50" w:after="0" w:line="300" w:lineRule="auto"/>
              <w:ind w:firstLine="0" w:firstLineChars="0"/>
              <w:textAlignment w:val="auto"/>
              <w:rPr>
                <w:rFonts w:eastAsia="仿宋"/>
                <w:b/>
                <w:sz w:val="24"/>
                <w:szCs w:val="24"/>
              </w:rPr>
            </w:pPr>
            <w:r>
              <w:rPr>
                <w:rFonts w:eastAsia="仿宋"/>
                <w:b/>
                <w:sz w:val="24"/>
                <w:szCs w:val="24"/>
              </w:rPr>
              <w:t>报告主体描述的符合性</w:t>
            </w:r>
          </w:p>
        </w:tc>
        <w:tc>
          <w:tcPr>
            <w:tcW w:w="7804" w:type="dxa"/>
            <w:vAlign w:val="center"/>
          </w:tcPr>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bCs/>
                <w:sz w:val="24"/>
                <w:szCs w:val="24"/>
              </w:rPr>
            </w:pPr>
            <w:r>
              <w:rPr>
                <w:rFonts w:hint="eastAsia" w:eastAsia="仿宋"/>
                <w:bCs/>
                <w:sz w:val="24"/>
                <w:szCs w:val="24"/>
              </w:rPr>
              <w:t>企业（或者其他经济组织）的基本信息与实际符合情况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hint="eastAsia" w:eastAsia="仿宋"/>
                <w:bCs/>
                <w:sz w:val="24"/>
                <w:szCs w:val="24"/>
              </w:rPr>
              <w:t>企业主营产品、生产设施信息、组织机构图、厂区平面分布图、工艺流程图与实际符合情况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bCs/>
                <w:sz w:val="24"/>
                <w:szCs w:val="24"/>
              </w:rPr>
            </w:pPr>
            <w:r>
              <w:rPr>
                <w:rFonts w:eastAsia="仿宋"/>
                <w:sz w:val="24"/>
                <w:szCs w:val="24"/>
              </w:rPr>
              <w:t>若否，需要详细说明并</w:t>
            </w:r>
            <w:r>
              <w:rPr>
                <w:rFonts w:hint="eastAsia" w:eastAsia="仿宋"/>
                <w:sz w:val="24"/>
                <w:szCs w:val="24"/>
              </w:rPr>
              <w:t>简要描述不符合(如有),详细描述及纠正措施链接核查报告附件1）。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63" w:type="dxa"/>
            <w:shd w:val="clear" w:color="auto" w:fill="D8D8D8" w:themeFill="background1" w:themeFillShade="D9"/>
            <w:vAlign w:val="center"/>
          </w:tcPr>
          <w:p>
            <w:pPr>
              <w:keepNext w:val="0"/>
              <w:keepLines w:val="0"/>
              <w:pageBreakBefore w:val="0"/>
              <w:widowControl/>
              <w:tabs>
                <w:tab w:val="left" w:pos="3960"/>
                <w:tab w:val="left" w:pos="4140"/>
              </w:tabs>
              <w:kinsoku/>
              <w:wordWrap/>
              <w:overflowPunct/>
              <w:topLinePunct w:val="0"/>
              <w:autoSpaceDE/>
              <w:autoSpaceDN/>
              <w:bidi w:val="0"/>
              <w:adjustRightInd/>
              <w:snapToGrid w:val="0"/>
              <w:spacing w:before="156" w:beforeLines="50" w:after="0" w:line="300" w:lineRule="auto"/>
              <w:ind w:firstLine="0" w:firstLineChars="0"/>
              <w:textAlignment w:val="auto"/>
              <w:rPr>
                <w:rFonts w:eastAsia="仿宋"/>
                <w:b/>
                <w:sz w:val="24"/>
                <w:szCs w:val="24"/>
              </w:rPr>
            </w:pPr>
            <w:r>
              <w:rPr>
                <w:rFonts w:eastAsia="仿宋"/>
                <w:b/>
                <w:sz w:val="24"/>
                <w:szCs w:val="24"/>
              </w:rPr>
              <w:t>核算边界和主要排放设施描述的符合性</w:t>
            </w:r>
          </w:p>
        </w:tc>
        <w:tc>
          <w:tcPr>
            <w:tcW w:w="7804" w:type="dxa"/>
            <w:vAlign w:val="center"/>
          </w:tcPr>
          <w:p>
            <w:pPr>
              <w:keepNext w:val="0"/>
              <w:keepLines w:val="0"/>
              <w:pageBreakBefore w:val="0"/>
              <w:widowControl/>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hint="eastAsia" w:eastAsia="仿宋"/>
                <w:sz w:val="24"/>
                <w:szCs w:val="24"/>
              </w:rPr>
              <w:t>法人边界的核算范围与实际的符合情况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hint="eastAsia" w:eastAsia="仿宋"/>
                <w:sz w:val="24"/>
                <w:szCs w:val="24"/>
              </w:rPr>
              <w:t>补充数据表的核算范围与实际的符合情况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hint="eastAsia" w:eastAsia="仿宋"/>
                <w:sz w:val="24"/>
                <w:szCs w:val="24"/>
              </w:rPr>
              <w:t>主要排放设施与实际的符合情况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kinsoku/>
              <w:wordWrap/>
              <w:overflowPunct/>
              <w:topLinePunct w:val="0"/>
              <w:autoSpaceDE/>
              <w:autoSpaceDN/>
              <w:bidi w:val="0"/>
              <w:snapToGrid w:val="0"/>
              <w:spacing w:after="0" w:line="300" w:lineRule="auto"/>
              <w:ind w:firstLine="480" w:firstLineChars="200"/>
              <w:textAlignment w:val="auto"/>
              <w:rPr>
                <w:rFonts w:eastAsia="仿宋"/>
                <w:bCs/>
                <w:sz w:val="24"/>
                <w:szCs w:val="24"/>
              </w:rPr>
            </w:pPr>
            <w:r>
              <w:rPr>
                <w:rFonts w:eastAsia="仿宋"/>
                <w:sz w:val="24"/>
                <w:szCs w:val="24"/>
              </w:rPr>
              <w:t>若否，需要详细说明并</w:t>
            </w:r>
            <w:r>
              <w:rPr>
                <w:rFonts w:hint="eastAsia" w:eastAsia="仿宋"/>
                <w:sz w:val="24"/>
                <w:szCs w:val="24"/>
              </w:rPr>
              <w:t>简要描述不符合(如有),详细描述及纠正措施链接核查报告附件1）。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663" w:type="dxa"/>
            <w:shd w:val="clear" w:color="auto" w:fill="D8D8D8" w:themeFill="background1" w:themeFillShade="D9"/>
            <w:vAlign w:val="center"/>
          </w:tcPr>
          <w:p>
            <w:pPr>
              <w:keepNext w:val="0"/>
              <w:keepLines w:val="0"/>
              <w:pageBreakBefore w:val="0"/>
              <w:widowControl/>
              <w:tabs>
                <w:tab w:val="left" w:pos="3960"/>
                <w:tab w:val="left" w:pos="4140"/>
              </w:tabs>
              <w:kinsoku/>
              <w:wordWrap/>
              <w:overflowPunct/>
              <w:topLinePunct w:val="0"/>
              <w:autoSpaceDE/>
              <w:autoSpaceDN/>
              <w:bidi w:val="0"/>
              <w:adjustRightInd/>
              <w:snapToGrid w:val="0"/>
              <w:spacing w:before="156" w:beforeLines="50" w:after="0" w:line="300" w:lineRule="auto"/>
              <w:ind w:firstLine="0" w:firstLineChars="0"/>
              <w:textAlignment w:val="auto"/>
              <w:rPr>
                <w:rFonts w:eastAsia="仿宋"/>
                <w:b/>
                <w:sz w:val="24"/>
                <w:szCs w:val="24"/>
              </w:rPr>
            </w:pPr>
            <w:r>
              <w:rPr>
                <w:rFonts w:eastAsia="仿宋"/>
                <w:b/>
                <w:sz w:val="24"/>
                <w:szCs w:val="24"/>
              </w:rPr>
              <w:t>数据获取方式的符合性</w:t>
            </w:r>
          </w:p>
        </w:tc>
        <w:tc>
          <w:tcPr>
            <w:tcW w:w="7804" w:type="dxa"/>
            <w:vAlign w:val="center"/>
          </w:tcPr>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eastAsia="仿宋"/>
                <w:sz w:val="24"/>
                <w:szCs w:val="24"/>
              </w:rPr>
              <w:t>监测计划中涉及的所有活动水平数据和排放因子识别全面情况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bCs/>
                <w:sz w:val="24"/>
                <w:szCs w:val="24"/>
              </w:rPr>
            </w:pPr>
            <w:r>
              <w:rPr>
                <w:rFonts w:eastAsia="仿宋"/>
                <w:bCs/>
                <w:sz w:val="24"/>
                <w:szCs w:val="24"/>
              </w:rPr>
              <w:t>监测计划中对参与核算所需要的所有数据都制定了获取方式情况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bCs/>
                <w:sz w:val="24"/>
                <w:szCs w:val="24"/>
              </w:rPr>
            </w:pPr>
            <w:r>
              <w:rPr>
                <w:rFonts w:eastAsia="仿宋"/>
                <w:sz w:val="24"/>
                <w:szCs w:val="24"/>
              </w:rPr>
              <w:t>所填报的</w:t>
            </w:r>
            <w:r>
              <w:rPr>
                <w:rFonts w:eastAsia="仿宋"/>
                <w:bCs/>
                <w:sz w:val="24"/>
                <w:szCs w:val="24"/>
              </w:rPr>
              <w:t>数据单位与核算指南一致情况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eastAsia="仿宋"/>
                <w:sz w:val="24"/>
                <w:szCs w:val="24"/>
              </w:rPr>
              <w:t>所有数据的计算方法和获取方式合理且符合适用的地方标准或核算和报告指南的要求</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eastAsia="仿宋"/>
                <w:sz w:val="24"/>
                <w:szCs w:val="24"/>
              </w:rPr>
              <w:t>数据获取过程中涉及的测量设备的型号、位置属实情况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eastAsia="仿宋"/>
                <w:sz w:val="24"/>
                <w:szCs w:val="24"/>
              </w:rPr>
              <w:t>监测频次、精度和校准频次符合相关要求情况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snapToGrid w:val="0"/>
              <w:spacing w:after="0" w:line="300" w:lineRule="auto"/>
              <w:ind w:firstLine="480" w:firstLineChars="200"/>
              <w:textAlignment w:val="auto"/>
              <w:rPr>
                <w:rFonts w:eastAsia="仿宋"/>
                <w:sz w:val="24"/>
                <w:szCs w:val="24"/>
              </w:rPr>
            </w:pPr>
            <w:r>
              <w:rPr>
                <w:rFonts w:eastAsia="仿宋"/>
                <w:sz w:val="24"/>
                <w:szCs w:val="24"/>
              </w:rPr>
              <w:t>数据缺失时的处理方式能够确保不会导致排放量的低估和配额的过量发放情况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kinsoku/>
              <w:wordWrap/>
              <w:overflowPunct/>
              <w:topLinePunct w:val="0"/>
              <w:autoSpaceDE/>
              <w:autoSpaceDN/>
              <w:bidi w:val="0"/>
              <w:snapToGrid w:val="0"/>
              <w:spacing w:after="0" w:line="300" w:lineRule="auto"/>
              <w:ind w:firstLine="480" w:firstLineChars="200"/>
              <w:textAlignment w:val="auto"/>
              <w:rPr>
                <w:rFonts w:eastAsia="仿宋"/>
                <w:bCs/>
                <w:sz w:val="24"/>
                <w:szCs w:val="24"/>
              </w:rPr>
            </w:pPr>
            <w:r>
              <w:rPr>
                <w:rFonts w:eastAsia="仿宋"/>
                <w:sz w:val="24"/>
                <w:szCs w:val="24"/>
              </w:rPr>
              <w:t>若否，需要详细说明并</w:t>
            </w:r>
            <w:r>
              <w:rPr>
                <w:rFonts w:hint="eastAsia" w:eastAsia="仿宋"/>
                <w:sz w:val="24"/>
                <w:szCs w:val="24"/>
              </w:rPr>
              <w:t>简要描述不符合(如有),详细描述及纠正措施链接核查报告附件1）。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663" w:type="dxa"/>
            <w:shd w:val="clear" w:color="auto" w:fill="D8D8D8" w:themeFill="background1" w:themeFillShade="D9"/>
            <w:vAlign w:val="center"/>
          </w:tcPr>
          <w:p>
            <w:pPr>
              <w:keepNext w:val="0"/>
              <w:keepLines w:val="0"/>
              <w:pageBreakBefore w:val="0"/>
              <w:widowControl/>
              <w:tabs>
                <w:tab w:val="left" w:pos="3960"/>
                <w:tab w:val="left" w:pos="4140"/>
              </w:tabs>
              <w:kinsoku/>
              <w:wordWrap/>
              <w:overflowPunct/>
              <w:topLinePunct w:val="0"/>
              <w:autoSpaceDE/>
              <w:autoSpaceDN/>
              <w:bidi w:val="0"/>
              <w:adjustRightInd/>
              <w:snapToGrid w:val="0"/>
              <w:spacing w:before="156" w:beforeLines="50" w:after="0" w:line="300" w:lineRule="auto"/>
              <w:ind w:firstLine="0" w:firstLineChars="0"/>
              <w:textAlignment w:val="auto"/>
              <w:rPr>
                <w:rFonts w:eastAsia="仿宋"/>
                <w:b/>
                <w:sz w:val="24"/>
                <w:szCs w:val="24"/>
              </w:rPr>
            </w:pPr>
            <w:r>
              <w:rPr>
                <w:rFonts w:eastAsia="仿宋"/>
                <w:b/>
                <w:sz w:val="24"/>
                <w:szCs w:val="24"/>
              </w:rPr>
              <w:t>数据内部质量控制和质量保证的符合性</w:t>
            </w:r>
          </w:p>
        </w:tc>
        <w:tc>
          <w:tcPr>
            <w:tcW w:w="7804" w:type="dxa"/>
            <w:vAlign w:val="center"/>
          </w:tcPr>
          <w:p>
            <w:pPr>
              <w:keepNext w:val="0"/>
              <w:keepLines w:val="0"/>
              <w:pageBreakBefore w:val="0"/>
              <w:widowControl/>
              <w:tabs>
                <w:tab w:val="left" w:pos="3960"/>
                <w:tab w:val="left" w:pos="4140"/>
              </w:tabs>
              <w:kinsoku/>
              <w:wordWrap/>
              <w:overflowPunct/>
              <w:topLinePunct w:val="0"/>
              <w:autoSpaceDE/>
              <w:autoSpaceDN/>
              <w:bidi w:val="0"/>
              <w:adjustRightInd/>
              <w:snapToGrid w:val="0"/>
              <w:spacing w:after="0" w:line="276" w:lineRule="auto"/>
              <w:ind w:firstLine="480" w:firstLineChars="200"/>
              <w:textAlignment w:val="auto"/>
              <w:rPr>
                <w:rFonts w:eastAsia="仿宋"/>
                <w:sz w:val="24"/>
                <w:szCs w:val="24"/>
              </w:rPr>
            </w:pPr>
            <w:r>
              <w:rPr>
                <w:rFonts w:eastAsia="仿宋"/>
                <w:sz w:val="24"/>
                <w:szCs w:val="24"/>
              </w:rPr>
              <w:t>受审核方已指定专人负责温室气体监测计划制定、温室气体报告工作情况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adjustRightInd/>
              <w:snapToGrid w:val="0"/>
              <w:spacing w:after="0" w:line="276" w:lineRule="auto"/>
              <w:ind w:firstLine="480" w:firstLineChars="200"/>
              <w:textAlignment w:val="auto"/>
              <w:rPr>
                <w:rFonts w:eastAsia="仿宋"/>
                <w:sz w:val="24"/>
                <w:szCs w:val="24"/>
              </w:rPr>
            </w:pPr>
            <w:r>
              <w:rPr>
                <w:rFonts w:eastAsia="仿宋"/>
                <w:sz w:val="24"/>
                <w:szCs w:val="24"/>
              </w:rPr>
              <w:t>受审核方已建立监测计划的制定、修订、审批以及执行等的管理制度情况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adjustRightInd/>
              <w:snapToGrid w:val="0"/>
              <w:spacing w:after="0" w:line="276" w:lineRule="auto"/>
              <w:ind w:firstLine="480" w:firstLineChars="200"/>
              <w:textAlignment w:val="auto"/>
              <w:rPr>
                <w:rFonts w:eastAsia="仿宋"/>
                <w:sz w:val="24"/>
                <w:szCs w:val="24"/>
              </w:rPr>
            </w:pPr>
            <w:r>
              <w:rPr>
                <w:rFonts w:eastAsia="仿宋"/>
                <w:sz w:val="24"/>
                <w:szCs w:val="24"/>
              </w:rPr>
              <w:t>受审核方已建立温室气体排放报告的编写、内部审核以及审批等管理制度情况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adjustRightInd/>
              <w:snapToGrid w:val="0"/>
              <w:spacing w:after="0" w:line="276" w:lineRule="auto"/>
              <w:ind w:firstLine="480" w:firstLineChars="200"/>
              <w:textAlignment w:val="auto"/>
              <w:rPr>
                <w:rFonts w:eastAsia="仿宋"/>
                <w:sz w:val="24"/>
                <w:szCs w:val="24"/>
              </w:rPr>
            </w:pPr>
            <w:r>
              <w:rPr>
                <w:rFonts w:eastAsia="仿宋"/>
                <w:sz w:val="24"/>
                <w:szCs w:val="24"/>
              </w:rPr>
              <w:t>受审核方已建立温室气体数据文件的保存和归档管理制度</w:t>
            </w:r>
            <w:r>
              <w:rPr>
                <w:rFonts w:hint="eastAsia" w:eastAsia="仿宋"/>
                <w:sz w:val="24"/>
                <w:szCs w:val="24"/>
              </w:rPr>
              <w:t>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adjustRightInd/>
              <w:snapToGrid w:val="0"/>
              <w:spacing w:after="0" w:line="276" w:lineRule="auto"/>
              <w:ind w:firstLine="480" w:firstLineChars="200"/>
              <w:textAlignment w:val="auto"/>
              <w:rPr>
                <w:rFonts w:eastAsia="仿宋"/>
                <w:sz w:val="24"/>
                <w:szCs w:val="24"/>
              </w:rPr>
            </w:pPr>
            <w:r>
              <w:rPr>
                <w:rFonts w:eastAsia="仿宋"/>
                <w:sz w:val="24"/>
                <w:szCs w:val="24"/>
              </w:rPr>
              <w:t>受审核方监测计划制定和执行人员以及排放报告编制人员具备制定相应报告的能力情况</w:t>
            </w:r>
            <w:r>
              <w:rPr>
                <w:rFonts w:ascii="Segoe UI Symbol" w:hAnsi="Segoe UI Symbol" w:eastAsia="仿宋" w:cs="Segoe UI Symbol"/>
                <w:sz w:val="24"/>
                <w:szCs w:val="24"/>
              </w:rPr>
              <w:t>☐</w:t>
            </w:r>
            <w:r>
              <w:rPr>
                <w:rFonts w:hint="eastAsia" w:eastAsia="仿宋"/>
                <w:sz w:val="24"/>
                <w:szCs w:val="24"/>
              </w:rPr>
              <w:t>是</w:t>
            </w:r>
            <w:r>
              <w:rPr>
                <w:rFonts w:ascii="Segoe UI Symbol" w:hAnsi="Segoe UI Symbol" w:eastAsia="仿宋" w:cs="Segoe UI Symbol"/>
                <w:sz w:val="24"/>
                <w:szCs w:val="24"/>
              </w:rPr>
              <w:t>☐</w:t>
            </w:r>
            <w:r>
              <w:rPr>
                <w:rFonts w:hint="eastAsia" w:eastAsia="仿宋"/>
                <w:sz w:val="24"/>
                <w:szCs w:val="24"/>
              </w:rPr>
              <w:t>否</w:t>
            </w:r>
          </w:p>
          <w:p>
            <w:pPr>
              <w:keepNext w:val="0"/>
              <w:keepLines w:val="0"/>
              <w:pageBreakBefore w:val="0"/>
              <w:widowControl/>
              <w:tabs>
                <w:tab w:val="left" w:pos="3960"/>
                <w:tab w:val="left" w:pos="4140"/>
              </w:tabs>
              <w:kinsoku/>
              <w:wordWrap/>
              <w:overflowPunct/>
              <w:topLinePunct w:val="0"/>
              <w:autoSpaceDE/>
              <w:autoSpaceDN/>
              <w:bidi w:val="0"/>
              <w:adjustRightInd/>
              <w:snapToGrid w:val="0"/>
              <w:spacing w:after="0" w:line="276" w:lineRule="auto"/>
              <w:ind w:firstLine="480" w:firstLineChars="200"/>
              <w:textAlignment w:val="auto"/>
              <w:rPr>
                <w:rFonts w:eastAsia="仿宋"/>
                <w:b/>
                <w:sz w:val="24"/>
                <w:szCs w:val="24"/>
              </w:rPr>
            </w:pPr>
            <w:r>
              <w:rPr>
                <w:rFonts w:eastAsia="仿宋"/>
                <w:sz w:val="24"/>
                <w:szCs w:val="24"/>
              </w:rPr>
              <w:t>若否，需要详细说明并</w:t>
            </w:r>
            <w:r>
              <w:rPr>
                <w:rFonts w:hint="eastAsia" w:eastAsia="仿宋"/>
                <w:sz w:val="24"/>
                <w:szCs w:val="24"/>
              </w:rPr>
              <w:t>简要描述不符合(如有),详细描述及纠正措施链接核查报告附件1）。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663" w:type="dxa"/>
            <w:shd w:val="clear" w:color="auto" w:fill="D8D8D8" w:themeFill="background1" w:themeFillShade="D9"/>
            <w:vAlign w:val="center"/>
          </w:tcPr>
          <w:p>
            <w:pPr>
              <w:keepNext w:val="0"/>
              <w:keepLines w:val="0"/>
              <w:pageBreakBefore w:val="0"/>
              <w:widowControl/>
              <w:tabs>
                <w:tab w:val="left" w:pos="3960"/>
                <w:tab w:val="left" w:pos="4140"/>
              </w:tabs>
              <w:kinsoku/>
              <w:wordWrap/>
              <w:overflowPunct/>
              <w:topLinePunct w:val="0"/>
              <w:autoSpaceDE/>
              <w:autoSpaceDN/>
              <w:bidi w:val="0"/>
              <w:adjustRightInd/>
              <w:snapToGrid w:val="0"/>
              <w:spacing w:before="156" w:beforeLines="50" w:after="0" w:line="300" w:lineRule="auto"/>
              <w:ind w:firstLine="0" w:firstLineChars="0"/>
              <w:textAlignment w:val="auto"/>
              <w:rPr>
                <w:rFonts w:eastAsia="仿宋"/>
                <w:b/>
                <w:sz w:val="24"/>
                <w:szCs w:val="24"/>
              </w:rPr>
            </w:pPr>
            <w:r>
              <w:rPr>
                <w:rFonts w:eastAsia="仿宋"/>
                <w:b/>
                <w:sz w:val="24"/>
                <w:szCs w:val="24"/>
              </w:rPr>
              <w:t>其他核查发现（如有）</w:t>
            </w:r>
          </w:p>
        </w:tc>
        <w:tc>
          <w:tcPr>
            <w:tcW w:w="7804" w:type="dxa"/>
            <w:vAlign w:val="center"/>
          </w:tcPr>
          <w:p>
            <w:pPr>
              <w:keepNext w:val="0"/>
              <w:keepLines w:val="0"/>
              <w:pageBreakBefore w:val="0"/>
              <w:widowControl/>
              <w:kinsoku/>
              <w:wordWrap/>
              <w:overflowPunct/>
              <w:topLinePunct w:val="0"/>
              <w:autoSpaceDE/>
              <w:autoSpaceDN/>
              <w:bidi w:val="0"/>
              <w:snapToGrid w:val="0"/>
              <w:spacing w:after="0" w:line="300" w:lineRule="auto"/>
              <w:ind w:firstLine="480" w:firstLineChars="200"/>
              <w:textAlignment w:val="auto"/>
              <w:rPr>
                <w:rFonts w:eastAsia="仿宋"/>
                <w:bCs/>
                <w:sz w:val="24"/>
                <w:szCs w:val="24"/>
              </w:rPr>
            </w:pPr>
            <w:r>
              <w:rPr>
                <w:rFonts w:eastAsia="仿宋"/>
                <w:bCs/>
                <w:sz w:val="24"/>
                <w:szCs w:val="24"/>
              </w:rPr>
              <w:t>若还有其它需要说明的核查发现，请详细描述。</w:t>
            </w:r>
          </w:p>
        </w:tc>
      </w:tr>
    </w:tbl>
    <w:p>
      <w:pPr>
        <w:widowControl w:val="0"/>
        <w:spacing w:after="0" w:line="560" w:lineRule="exact"/>
        <w:ind w:left="987"/>
        <w:jc w:val="both"/>
        <w:rPr>
          <w:rFonts w:ascii="仿宋_GB2312" w:hAnsi="仿宋" w:eastAsia="仿宋_GB2312"/>
          <w:sz w:val="32"/>
          <w:szCs w:val="32"/>
        </w:rPr>
      </w:pPr>
    </w:p>
    <w:p>
      <w:pPr>
        <w:widowControl w:val="0"/>
        <w:spacing w:after="0" w:line="560" w:lineRule="exact"/>
        <w:ind w:left="567"/>
        <w:jc w:val="both"/>
        <w:outlineLvl w:val="0"/>
        <w:rPr>
          <w:rFonts w:ascii="仿宋_GB2312" w:hAnsi="仿宋" w:eastAsia="仿宋_GB2312"/>
          <w:sz w:val="32"/>
          <w:szCs w:val="32"/>
        </w:rPr>
      </w:pPr>
      <w:r>
        <w:rPr>
          <w:rFonts w:hint="eastAsia" w:ascii="仿宋_GB2312" w:hAnsi="仿宋" w:eastAsia="仿宋_GB2312"/>
          <w:sz w:val="32"/>
          <w:szCs w:val="32"/>
        </w:rPr>
        <w:t>B）核查方法</w:t>
      </w:r>
    </w:p>
    <w:p>
      <w:pPr>
        <w:widowControl w:val="0"/>
        <w:numPr>
          <w:ilvl w:val="0"/>
          <w:numId w:val="26"/>
        </w:numPr>
        <w:spacing w:after="0" w:line="560" w:lineRule="exact"/>
        <w:jc w:val="both"/>
        <w:rPr>
          <w:rFonts w:ascii="仿宋_GB2312" w:hAnsi="仿宋" w:eastAsia="仿宋_GB2312"/>
          <w:sz w:val="32"/>
          <w:szCs w:val="32"/>
        </w:rPr>
      </w:pPr>
      <w:r>
        <w:rPr>
          <w:rFonts w:ascii="仿宋_GB2312" w:hAnsi="仿宋" w:eastAsia="仿宋_GB2312"/>
          <w:sz w:val="32"/>
          <w:szCs w:val="32"/>
        </w:rPr>
        <w:t>访谈确认监测计划制定及实施情况；</w:t>
      </w:r>
    </w:p>
    <w:p>
      <w:pPr>
        <w:widowControl w:val="0"/>
        <w:numPr>
          <w:ilvl w:val="0"/>
          <w:numId w:val="2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查阅相关参数的检测报告；</w:t>
      </w:r>
    </w:p>
    <w:p>
      <w:pPr>
        <w:widowControl w:val="0"/>
        <w:numPr>
          <w:ilvl w:val="0"/>
          <w:numId w:val="26"/>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观察现有监测设备的配置情况；</w:t>
      </w:r>
    </w:p>
    <w:p>
      <w:pPr>
        <w:widowControl w:val="0"/>
        <w:numPr>
          <w:ilvl w:val="0"/>
          <w:numId w:val="26"/>
        </w:numPr>
        <w:spacing w:after="0" w:line="560" w:lineRule="exact"/>
        <w:ind w:left="567" w:firstLine="6"/>
        <w:jc w:val="both"/>
        <w:rPr>
          <w:rFonts w:ascii="仿宋_GB2312" w:hAnsi="仿宋" w:eastAsia="仿宋_GB2312"/>
          <w:sz w:val="32"/>
          <w:szCs w:val="32"/>
        </w:rPr>
      </w:pPr>
      <w:r>
        <w:rPr>
          <w:rFonts w:hint="eastAsia" w:ascii="仿宋_GB2312" w:hAnsi="仿宋" w:eastAsia="仿宋_GB2312"/>
          <w:sz w:val="32"/>
          <w:szCs w:val="32"/>
        </w:rPr>
        <w:t>访谈了解监测设备的下一步配置计划。</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3.9对京内移动设施和京外能源消费总量的核查</w:t>
      </w:r>
    </w:p>
    <w:p>
      <w:pPr>
        <w:spacing w:after="0" w:line="560" w:lineRule="exact"/>
        <w:ind w:firstLine="659" w:firstLineChars="205"/>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核查机构应对重点碳排放单位的其他能源消费信息进行核查,并报告如下核查发现：</w:t>
      </w:r>
    </w:p>
    <w:p>
      <w:pPr>
        <w:widowControl w:val="0"/>
        <w:numPr>
          <w:ilvl w:val="0"/>
          <w:numId w:val="27"/>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能源消耗（燃料品种、电力等）是否完整；</w:t>
      </w:r>
    </w:p>
    <w:p>
      <w:pPr>
        <w:widowControl w:val="0"/>
        <w:numPr>
          <w:ilvl w:val="0"/>
          <w:numId w:val="27"/>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消费数据是否真实、可信。</w:t>
      </w:r>
    </w:p>
    <w:p>
      <w:pPr>
        <w:spacing w:after="0" w:line="560" w:lineRule="exact"/>
        <w:ind w:firstLine="630" w:firstLineChars="196"/>
        <w:outlineLvl w:val="0"/>
        <w:rPr>
          <w:rFonts w:ascii="仿宋_GB2312" w:hAnsi="仿宋" w:eastAsia="仿宋_GB2312"/>
          <w:b/>
          <w:sz w:val="32"/>
          <w:szCs w:val="32"/>
        </w:rPr>
      </w:pPr>
      <w:r>
        <w:rPr>
          <w:rFonts w:hint="eastAsia" w:ascii="仿宋_GB2312" w:hAnsi="仿宋" w:eastAsia="仿宋_GB2312"/>
          <w:b/>
          <w:sz w:val="32"/>
          <w:szCs w:val="32"/>
        </w:rPr>
        <w:t>B) 核查方法</w:t>
      </w:r>
    </w:p>
    <w:p>
      <w:pPr>
        <w:widowControl w:val="0"/>
        <w:numPr>
          <w:ilvl w:val="0"/>
          <w:numId w:val="24"/>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查阅油品购买记录；</w:t>
      </w:r>
    </w:p>
    <w:p>
      <w:pPr>
        <w:widowControl w:val="0"/>
        <w:numPr>
          <w:ilvl w:val="0"/>
          <w:numId w:val="24"/>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查阅移动源行驶里程；</w:t>
      </w:r>
    </w:p>
    <w:p>
      <w:pPr>
        <w:widowControl w:val="0"/>
        <w:numPr>
          <w:ilvl w:val="0"/>
          <w:numId w:val="24"/>
        </w:numPr>
        <w:spacing w:after="0" w:line="560" w:lineRule="exact"/>
        <w:jc w:val="both"/>
        <w:rPr>
          <w:rFonts w:ascii="仿宋_GB2312" w:hAnsi="仿宋" w:eastAsia="仿宋_GB2312"/>
          <w:sz w:val="32"/>
          <w:szCs w:val="32"/>
        </w:rPr>
      </w:pPr>
      <w:r>
        <w:rPr>
          <w:rFonts w:hint="eastAsia" w:ascii="仿宋_GB2312" w:hAnsi="仿宋" w:eastAsia="仿宋_GB2312"/>
          <w:sz w:val="32"/>
          <w:szCs w:val="32"/>
        </w:rPr>
        <w:t>查阅能源平衡表。</w:t>
      </w:r>
    </w:p>
    <w:p>
      <w:pPr>
        <w:widowControl w:val="0"/>
        <w:spacing w:after="0" w:line="560" w:lineRule="exact"/>
        <w:ind w:left="420"/>
        <w:jc w:val="both"/>
        <w:rPr>
          <w:rFonts w:ascii="仿宋_GB2312" w:hAnsi="仿宋" w:eastAsia="仿宋_GB2312"/>
          <w:sz w:val="32"/>
          <w:szCs w:val="32"/>
        </w:rPr>
      </w:pPr>
      <w:r>
        <w:rPr>
          <w:rFonts w:hint="eastAsia" w:ascii="仿宋_GB2312" w:hAnsi="仿宋" w:eastAsia="仿宋_GB2312"/>
          <w:sz w:val="32"/>
          <w:szCs w:val="32"/>
        </w:rPr>
        <w:t xml:space="preserve">   核查机构应注意，交通设施的京内移动设施和</w:t>
      </w:r>
      <w:r>
        <w:rPr>
          <w:rFonts w:ascii="仿宋_GB2312" w:hAnsi="仿宋" w:eastAsia="仿宋_GB2312"/>
          <w:sz w:val="32"/>
          <w:szCs w:val="32"/>
        </w:rPr>
        <w:t>航空器的排放</w:t>
      </w:r>
      <w:r>
        <w:rPr>
          <w:rFonts w:hint="eastAsia" w:ascii="仿宋_GB2312" w:hAnsi="仿宋" w:eastAsia="仿宋_GB2312"/>
          <w:sz w:val="32"/>
          <w:szCs w:val="32"/>
        </w:rPr>
        <w:t>应作为核算边界内的排放设施纳入核查范围，而不应当作为本节核查的内容。</w:t>
      </w:r>
    </w:p>
    <w:p>
      <w:pPr>
        <w:spacing w:after="0" w:line="560" w:lineRule="exact"/>
        <w:ind w:firstLine="659" w:firstLineChars="205"/>
        <w:rPr>
          <w:rFonts w:ascii="仿宋_GB2312" w:hAnsi="仿宋" w:eastAsia="仿宋_GB2312"/>
          <w:b/>
          <w:sz w:val="32"/>
          <w:szCs w:val="32"/>
        </w:rPr>
      </w:pPr>
      <w:r>
        <w:rPr>
          <w:rFonts w:hint="eastAsia" w:ascii="仿宋_GB2312" w:hAnsi="仿宋" w:eastAsia="仿宋_GB2312"/>
          <w:b/>
          <w:sz w:val="32"/>
          <w:szCs w:val="32"/>
        </w:rPr>
        <w:t>3.10对数据质量管理的核查</w:t>
      </w:r>
    </w:p>
    <w:p>
      <w:pPr>
        <w:spacing w:after="0" w:line="560" w:lineRule="exact"/>
        <w:ind w:firstLine="659" w:firstLineChars="205"/>
        <w:jc w:val="both"/>
        <w:outlineLvl w:val="0"/>
        <w:rPr>
          <w:rFonts w:ascii="仿宋_GB2312" w:hAnsi="仿宋" w:eastAsia="仿宋_GB2312"/>
          <w:b/>
          <w:sz w:val="32"/>
          <w:szCs w:val="32"/>
        </w:rPr>
      </w:pPr>
      <w:r>
        <w:rPr>
          <w:rFonts w:hint="eastAsia" w:ascii="仿宋_GB2312" w:hAnsi="仿宋" w:eastAsia="仿宋_GB2312"/>
          <w:b/>
          <w:sz w:val="32"/>
          <w:szCs w:val="32"/>
        </w:rPr>
        <w:t>A）报告内容</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核查机构应对重点碳排放单位的二氧化碳排放质量管理体系进行核查,核查内容包括：</w:t>
      </w:r>
    </w:p>
    <w:p>
      <w:pPr>
        <w:widowControl w:val="0"/>
        <w:numPr>
          <w:ilvl w:val="0"/>
          <w:numId w:val="27"/>
        </w:numPr>
        <w:spacing w:after="0" w:line="560" w:lineRule="exact"/>
        <w:ind w:left="565" w:leftChars="257" w:firstLine="0"/>
        <w:jc w:val="both"/>
        <w:rPr>
          <w:rFonts w:ascii="仿宋_GB2312" w:hAnsi="仿宋" w:eastAsia="仿宋_GB2312"/>
          <w:sz w:val="32"/>
          <w:szCs w:val="32"/>
        </w:rPr>
      </w:pPr>
      <w:r>
        <w:rPr>
          <w:rFonts w:hint="eastAsia" w:ascii="仿宋_GB2312" w:hAnsi="仿宋" w:eastAsia="仿宋_GB2312"/>
          <w:sz w:val="32"/>
          <w:szCs w:val="32"/>
        </w:rPr>
        <w:t>是否按标准和规定进行仪表的校准和检定；</w:t>
      </w:r>
    </w:p>
    <w:p>
      <w:pPr>
        <w:widowControl w:val="0"/>
        <w:numPr>
          <w:ilvl w:val="0"/>
          <w:numId w:val="27"/>
        </w:numPr>
        <w:spacing w:after="0" w:line="560" w:lineRule="exact"/>
        <w:ind w:left="565" w:leftChars="257" w:firstLine="0"/>
        <w:jc w:val="both"/>
        <w:rPr>
          <w:rFonts w:ascii="仿宋_GB2312" w:hAnsi="仿宋" w:eastAsia="仿宋_GB2312"/>
          <w:sz w:val="32"/>
          <w:szCs w:val="32"/>
        </w:rPr>
      </w:pPr>
      <w:r>
        <w:rPr>
          <w:rFonts w:hint="eastAsia" w:ascii="仿宋_GB2312" w:hAnsi="仿宋" w:eastAsia="仿宋_GB2312"/>
          <w:sz w:val="32"/>
          <w:szCs w:val="32"/>
        </w:rPr>
        <w:t>是否明确了管理部门，专人负责数据的记录、收集和整理工作；</w:t>
      </w:r>
    </w:p>
    <w:p>
      <w:pPr>
        <w:widowControl w:val="0"/>
        <w:numPr>
          <w:ilvl w:val="0"/>
          <w:numId w:val="27"/>
        </w:numPr>
        <w:spacing w:after="0" w:line="560" w:lineRule="exact"/>
        <w:ind w:left="565" w:leftChars="257" w:firstLine="0"/>
        <w:jc w:val="both"/>
        <w:rPr>
          <w:rFonts w:ascii="仿宋_GB2312" w:hAnsi="仿宋" w:eastAsia="仿宋_GB2312"/>
          <w:sz w:val="32"/>
          <w:szCs w:val="32"/>
        </w:rPr>
      </w:pPr>
      <w:r>
        <w:rPr>
          <w:rFonts w:hint="eastAsia" w:ascii="仿宋_GB2312" w:hAnsi="仿宋" w:eastAsia="仿宋_GB2312"/>
          <w:sz w:val="32"/>
          <w:szCs w:val="32"/>
        </w:rPr>
        <w:t>是否建立了数据的监测、收集和获取的规章制度；</w:t>
      </w:r>
    </w:p>
    <w:p>
      <w:pPr>
        <w:widowControl w:val="0"/>
        <w:numPr>
          <w:ilvl w:val="0"/>
          <w:numId w:val="27"/>
        </w:numPr>
        <w:spacing w:after="0" w:line="560" w:lineRule="exact"/>
        <w:ind w:left="565" w:leftChars="257" w:firstLine="0"/>
        <w:jc w:val="both"/>
        <w:rPr>
          <w:rFonts w:ascii="仿宋_GB2312" w:hAnsi="仿宋" w:eastAsia="仿宋_GB2312"/>
          <w:sz w:val="32"/>
          <w:szCs w:val="32"/>
        </w:rPr>
      </w:pPr>
      <w:r>
        <w:rPr>
          <w:rFonts w:hint="eastAsia" w:ascii="仿宋_GB2312" w:hAnsi="仿宋" w:eastAsia="仿宋_GB2312"/>
          <w:sz w:val="32"/>
          <w:szCs w:val="32"/>
        </w:rPr>
        <w:t>是否制定了数据缺失、生产活动变化以及报告方法变更的应对措施；</w:t>
      </w:r>
    </w:p>
    <w:p>
      <w:pPr>
        <w:widowControl w:val="0"/>
        <w:numPr>
          <w:ilvl w:val="0"/>
          <w:numId w:val="27"/>
        </w:numPr>
        <w:spacing w:after="0" w:line="560" w:lineRule="exact"/>
        <w:ind w:left="565" w:leftChars="257" w:firstLine="0"/>
        <w:jc w:val="both"/>
        <w:rPr>
          <w:rFonts w:ascii="仿宋_GB2312" w:hAnsi="仿宋" w:eastAsia="仿宋_GB2312"/>
          <w:sz w:val="32"/>
          <w:szCs w:val="32"/>
        </w:rPr>
      </w:pPr>
      <w:r>
        <w:rPr>
          <w:rFonts w:hint="eastAsia" w:ascii="仿宋_GB2312" w:hAnsi="仿宋" w:eastAsia="仿宋_GB2312"/>
          <w:sz w:val="32"/>
          <w:szCs w:val="32"/>
        </w:rPr>
        <w:t>文档管理是否规范。</w:t>
      </w:r>
    </w:p>
    <w:p>
      <w:pPr>
        <w:spacing w:after="0" w:line="560" w:lineRule="exact"/>
        <w:ind w:firstLine="630" w:firstLineChars="196"/>
        <w:outlineLvl w:val="0"/>
        <w:rPr>
          <w:rFonts w:ascii="仿宋_GB2312" w:hAnsi="仿宋" w:eastAsia="仿宋_GB2312"/>
          <w:b/>
          <w:sz w:val="32"/>
          <w:szCs w:val="32"/>
        </w:rPr>
      </w:pPr>
      <w:r>
        <w:rPr>
          <w:rFonts w:hint="eastAsia" w:ascii="仿宋_GB2312" w:hAnsi="仿宋" w:eastAsia="仿宋_GB2312"/>
          <w:b/>
          <w:sz w:val="32"/>
          <w:szCs w:val="32"/>
        </w:rPr>
        <w:t>B) 核查方法</w:t>
      </w:r>
    </w:p>
    <w:p>
      <w:pPr>
        <w:widowControl w:val="0"/>
        <w:numPr>
          <w:ilvl w:val="0"/>
          <w:numId w:val="24"/>
        </w:numPr>
        <w:spacing w:after="0" w:line="560" w:lineRule="exact"/>
        <w:ind w:hanging="273"/>
        <w:jc w:val="both"/>
        <w:rPr>
          <w:rFonts w:ascii="仿宋_GB2312" w:hAnsi="仿宋" w:eastAsia="仿宋_GB2312"/>
          <w:sz w:val="32"/>
          <w:szCs w:val="32"/>
        </w:rPr>
      </w:pPr>
      <w:r>
        <w:rPr>
          <w:rFonts w:hint="eastAsia" w:ascii="仿宋_GB2312" w:hAnsi="仿宋" w:eastAsia="仿宋_GB2312"/>
          <w:sz w:val="32"/>
          <w:szCs w:val="32"/>
        </w:rPr>
        <w:t>与管理人员及二氧化碳和能源管理人员交谈；</w:t>
      </w:r>
    </w:p>
    <w:p>
      <w:pPr>
        <w:widowControl w:val="0"/>
        <w:numPr>
          <w:ilvl w:val="0"/>
          <w:numId w:val="28"/>
        </w:numPr>
        <w:spacing w:after="0" w:line="560" w:lineRule="exact"/>
        <w:ind w:hanging="273"/>
        <w:jc w:val="both"/>
        <w:rPr>
          <w:rFonts w:ascii="仿宋_GB2312" w:hAnsi="仿宋" w:eastAsia="仿宋_GB2312"/>
          <w:sz w:val="32"/>
          <w:szCs w:val="32"/>
        </w:rPr>
      </w:pPr>
      <w:r>
        <w:rPr>
          <w:rFonts w:hint="eastAsia" w:ascii="仿宋_GB2312" w:hAnsi="仿宋" w:eastAsia="仿宋_GB2312"/>
          <w:sz w:val="32"/>
          <w:szCs w:val="32"/>
        </w:rPr>
        <w:t>查阅企业规章制度及监测计划等确认。</w:t>
      </w:r>
    </w:p>
    <w:p>
      <w:pPr>
        <w:spacing w:after="0" w:line="560" w:lineRule="exact"/>
        <w:ind w:firstLine="630" w:firstLineChars="196"/>
        <w:jc w:val="both"/>
        <w:outlineLvl w:val="0"/>
        <w:rPr>
          <w:rFonts w:ascii="仿宋_GB2312" w:hAnsi="仿宋" w:eastAsia="仿宋_GB2312"/>
          <w:b/>
          <w:sz w:val="32"/>
          <w:szCs w:val="32"/>
        </w:rPr>
      </w:pPr>
      <w:r>
        <w:rPr>
          <w:rFonts w:hint="eastAsia" w:ascii="仿宋_GB2312" w:hAnsi="仿宋" w:eastAsia="仿宋_GB2312"/>
          <w:b/>
          <w:sz w:val="32"/>
          <w:szCs w:val="32"/>
        </w:rPr>
        <w:t>4. 核查结论</w:t>
      </w:r>
    </w:p>
    <w:p>
      <w:pPr>
        <w:spacing w:after="0" w:line="560" w:lineRule="exact"/>
        <w:ind w:firstLine="640" w:firstLineChars="200"/>
        <w:jc w:val="both"/>
        <w:rPr>
          <w:rFonts w:ascii="仿宋_GB2312" w:hAnsi="仿宋" w:eastAsia="仿宋_GB2312"/>
          <w:sz w:val="32"/>
          <w:szCs w:val="32"/>
        </w:rPr>
      </w:pPr>
      <w:r>
        <w:rPr>
          <w:rFonts w:hint="eastAsia" w:ascii="仿宋_GB2312" w:hAnsi="仿宋" w:eastAsia="仿宋_GB2312"/>
          <w:sz w:val="32"/>
          <w:szCs w:val="32"/>
        </w:rPr>
        <w:t>核查机构应在核查报告中出具肯定或否定的核查结论。只有当不符合关闭后，核查机构才能出具肯定的核查结论。核查结论应包含下列内容：</w:t>
      </w:r>
    </w:p>
    <w:p>
      <w:pPr>
        <w:pStyle w:val="5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4.1 核算、报告及方法学的符合性；</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4.2 本年度排放量及</w:t>
      </w:r>
      <w:r>
        <w:rPr>
          <w:rFonts w:ascii="仿宋_GB2312" w:hAnsi="仿宋" w:eastAsia="仿宋_GB2312"/>
          <w:sz w:val="32"/>
          <w:szCs w:val="32"/>
        </w:rPr>
        <w:t>活动水平数据</w:t>
      </w:r>
      <w:r>
        <w:rPr>
          <w:rFonts w:hint="eastAsia" w:ascii="仿宋_GB2312" w:hAnsi="仿宋" w:eastAsia="仿宋_GB2312"/>
          <w:sz w:val="32"/>
          <w:szCs w:val="32"/>
        </w:rPr>
        <w:t>的声明；</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4.2.1 经核查的直接和间接排放量的声明；</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4.2.2 经核查的活动水平</w:t>
      </w:r>
      <w:r>
        <w:rPr>
          <w:rFonts w:ascii="仿宋_GB2312" w:hAnsi="仿宋" w:eastAsia="仿宋_GB2312"/>
          <w:sz w:val="32"/>
          <w:szCs w:val="32"/>
        </w:rPr>
        <w:t>数据的</w:t>
      </w:r>
      <w:r>
        <w:rPr>
          <w:rFonts w:hint="eastAsia" w:ascii="仿宋_GB2312" w:hAnsi="仿宋" w:eastAsia="仿宋_GB2312"/>
          <w:sz w:val="32"/>
          <w:szCs w:val="32"/>
        </w:rPr>
        <w:t>声明。</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4.3 本年度排放量及</w:t>
      </w:r>
      <w:r>
        <w:rPr>
          <w:rFonts w:ascii="仿宋_GB2312" w:hAnsi="仿宋" w:eastAsia="仿宋_GB2312"/>
          <w:sz w:val="32"/>
          <w:szCs w:val="32"/>
        </w:rPr>
        <w:t>活动水平</w:t>
      </w:r>
      <w:r>
        <w:rPr>
          <w:rFonts w:hint="eastAsia" w:ascii="仿宋_GB2312" w:hAnsi="仿宋" w:eastAsia="仿宋_GB2312"/>
          <w:sz w:val="32"/>
          <w:szCs w:val="32"/>
        </w:rPr>
        <w:t>波动的</w:t>
      </w:r>
      <w:r>
        <w:rPr>
          <w:rFonts w:ascii="仿宋_GB2312" w:hAnsi="仿宋" w:eastAsia="仿宋_GB2312"/>
          <w:sz w:val="32"/>
          <w:szCs w:val="32"/>
        </w:rPr>
        <w:t>原因说明</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4.3.1 本年度排放量波动的原因说明;</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4.3.2排放下降幅度说明:</w:t>
      </w:r>
      <w:r>
        <w:rPr>
          <w:rFonts w:hint="eastAsia" w:ascii="仿宋_GB2312" w:eastAsia="仿宋_GB2312"/>
          <w:sz w:val="32"/>
          <w:szCs w:val="32"/>
        </w:rPr>
        <w:t>履约年度二氧化碳排放量1</w:t>
      </w:r>
      <w:r>
        <w:rPr>
          <w:rFonts w:ascii="仿宋_GB2312" w:eastAsia="仿宋_GB2312"/>
          <w:sz w:val="32"/>
          <w:szCs w:val="32"/>
        </w:rPr>
        <w:t>0</w:t>
      </w:r>
      <w:r>
        <w:rPr>
          <w:rFonts w:hint="eastAsia" w:ascii="仿宋_GB2312" w:eastAsia="仿宋_GB2312"/>
          <w:sz w:val="32"/>
          <w:szCs w:val="32"/>
        </w:rPr>
        <w:t>万吨（含）以上的</w:t>
      </w:r>
      <w:r>
        <w:rPr>
          <w:rFonts w:ascii="仿宋_GB2312" w:eastAsia="仿宋_GB2312"/>
          <w:sz w:val="32"/>
          <w:szCs w:val="32"/>
        </w:rPr>
        <w:t>重点碳排放单位，</w:t>
      </w:r>
      <w:r>
        <w:rPr>
          <w:rFonts w:hint="eastAsia" w:ascii="仿宋_GB2312" w:eastAsia="仿宋_GB2312"/>
          <w:sz w:val="32"/>
          <w:szCs w:val="32"/>
        </w:rPr>
        <w:t>如</w:t>
      </w:r>
      <w:r>
        <w:rPr>
          <w:rFonts w:ascii="仿宋_GB2312" w:eastAsia="仿宋_GB2312"/>
          <w:sz w:val="32"/>
          <w:szCs w:val="32"/>
        </w:rPr>
        <w:t>果</w:t>
      </w:r>
      <w:r>
        <w:rPr>
          <w:rFonts w:hint="eastAsia" w:ascii="仿宋_GB2312" w:eastAsia="仿宋_GB2312"/>
          <w:sz w:val="32"/>
          <w:szCs w:val="32"/>
        </w:rPr>
        <w:t>履约</w:t>
      </w:r>
      <w:r>
        <w:rPr>
          <w:rFonts w:ascii="仿宋_GB2312" w:eastAsia="仿宋_GB2312"/>
          <w:sz w:val="32"/>
          <w:szCs w:val="32"/>
        </w:rPr>
        <w:t>年度排放量相对于历史基准年</w:t>
      </w:r>
      <w:r>
        <w:rPr>
          <w:rFonts w:hint="eastAsia" w:ascii="仿宋_GB2312" w:eastAsia="仿宋_GB2312"/>
          <w:sz w:val="32"/>
          <w:szCs w:val="32"/>
        </w:rPr>
        <w:t>排放量</w:t>
      </w:r>
      <w:r>
        <w:rPr>
          <w:rFonts w:ascii="仿宋_GB2312" w:eastAsia="仿宋_GB2312"/>
          <w:sz w:val="32"/>
          <w:szCs w:val="32"/>
        </w:rPr>
        <w:t>下降幅度</w:t>
      </w:r>
      <w:r>
        <w:rPr>
          <w:rFonts w:hint="eastAsia" w:ascii="仿宋_GB2312" w:eastAsia="仿宋_GB2312"/>
          <w:sz w:val="32"/>
          <w:szCs w:val="32"/>
        </w:rPr>
        <w:t>超过2</w:t>
      </w:r>
      <w:r>
        <w:rPr>
          <w:rFonts w:ascii="仿宋_GB2312" w:eastAsia="仿宋_GB2312"/>
          <w:sz w:val="32"/>
          <w:szCs w:val="32"/>
        </w:rPr>
        <w:t>0</w:t>
      </w:r>
      <w:r>
        <w:rPr>
          <w:rFonts w:hint="eastAsia" w:ascii="仿宋_GB2312" w:eastAsia="仿宋_GB2312"/>
          <w:sz w:val="32"/>
          <w:szCs w:val="32"/>
        </w:rPr>
        <w:t>%（含）；对于履约年度二氧化碳排放量1</w:t>
      </w:r>
      <w:r>
        <w:rPr>
          <w:rFonts w:ascii="仿宋_GB2312" w:eastAsia="仿宋_GB2312"/>
          <w:sz w:val="32"/>
          <w:szCs w:val="32"/>
        </w:rPr>
        <w:t>0</w:t>
      </w:r>
      <w:r>
        <w:rPr>
          <w:rFonts w:hint="eastAsia" w:ascii="仿宋_GB2312" w:eastAsia="仿宋_GB2312"/>
          <w:sz w:val="32"/>
          <w:szCs w:val="32"/>
        </w:rPr>
        <w:t>万吨以下的</w:t>
      </w:r>
      <w:r>
        <w:rPr>
          <w:rFonts w:ascii="仿宋_GB2312" w:eastAsia="仿宋_GB2312"/>
          <w:sz w:val="32"/>
          <w:szCs w:val="32"/>
        </w:rPr>
        <w:t>重点碳排放单位</w:t>
      </w:r>
      <w:r>
        <w:rPr>
          <w:rFonts w:hint="eastAsia" w:ascii="仿宋_GB2312" w:eastAsia="仿宋_GB2312"/>
          <w:sz w:val="32"/>
          <w:szCs w:val="32"/>
        </w:rPr>
        <w:t>，</w:t>
      </w:r>
      <w:r>
        <w:rPr>
          <w:rFonts w:ascii="仿宋_GB2312" w:eastAsia="仿宋_GB2312"/>
          <w:sz w:val="32"/>
          <w:szCs w:val="32"/>
        </w:rPr>
        <w:t>如果</w:t>
      </w:r>
      <w:r>
        <w:rPr>
          <w:rFonts w:hint="eastAsia" w:ascii="仿宋_GB2312" w:eastAsia="仿宋_GB2312"/>
          <w:sz w:val="32"/>
          <w:szCs w:val="32"/>
        </w:rPr>
        <w:t>履约</w:t>
      </w:r>
      <w:r>
        <w:rPr>
          <w:rFonts w:ascii="仿宋_GB2312" w:eastAsia="仿宋_GB2312"/>
          <w:sz w:val="32"/>
          <w:szCs w:val="32"/>
        </w:rPr>
        <w:t>年度排放量相对于历史基准年</w:t>
      </w:r>
      <w:r>
        <w:rPr>
          <w:rFonts w:hint="eastAsia" w:ascii="仿宋_GB2312" w:eastAsia="仿宋_GB2312"/>
          <w:sz w:val="32"/>
          <w:szCs w:val="32"/>
        </w:rPr>
        <w:t>排放量</w:t>
      </w:r>
      <w:r>
        <w:rPr>
          <w:rFonts w:ascii="仿宋_GB2312" w:eastAsia="仿宋_GB2312"/>
          <w:sz w:val="32"/>
          <w:szCs w:val="32"/>
        </w:rPr>
        <w:t>下降幅度</w:t>
      </w:r>
      <w:r>
        <w:rPr>
          <w:rFonts w:hint="eastAsia" w:ascii="仿宋_GB2312" w:eastAsia="仿宋_GB2312"/>
          <w:sz w:val="32"/>
          <w:szCs w:val="32"/>
        </w:rPr>
        <w:t>超过</w:t>
      </w:r>
      <w:r>
        <w:rPr>
          <w:rFonts w:ascii="仿宋_GB2312" w:eastAsia="仿宋_GB2312"/>
          <w:sz w:val="32"/>
          <w:szCs w:val="32"/>
        </w:rPr>
        <w:t>30</w:t>
      </w:r>
      <w:r>
        <w:rPr>
          <w:rFonts w:hint="eastAsia" w:ascii="仿宋_GB2312" w:eastAsia="仿宋_GB2312"/>
          <w:sz w:val="32"/>
          <w:szCs w:val="32"/>
        </w:rPr>
        <w:t>%（含）</w:t>
      </w:r>
      <w:r>
        <w:rPr>
          <w:rFonts w:hint="eastAsia" w:ascii="仿宋_GB2312" w:hAnsi="仿宋" w:eastAsia="仿宋_GB2312"/>
          <w:sz w:val="32"/>
          <w:szCs w:val="32"/>
        </w:rPr>
        <w:t>；</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4.3.3本年度</w:t>
      </w:r>
      <w:r>
        <w:rPr>
          <w:rFonts w:ascii="仿宋_GB2312" w:hAnsi="仿宋" w:eastAsia="仿宋_GB2312"/>
          <w:sz w:val="32"/>
          <w:szCs w:val="32"/>
        </w:rPr>
        <w:t>活动水平</w:t>
      </w:r>
      <w:r>
        <w:rPr>
          <w:rFonts w:hint="eastAsia" w:ascii="仿宋_GB2312" w:hAnsi="仿宋" w:eastAsia="仿宋_GB2312"/>
          <w:sz w:val="32"/>
          <w:szCs w:val="32"/>
        </w:rPr>
        <w:t>波动的原因说明，</w:t>
      </w:r>
      <w:r>
        <w:rPr>
          <w:rFonts w:ascii="仿宋_GB2312" w:hAnsi="仿宋" w:eastAsia="仿宋_GB2312"/>
          <w:sz w:val="32"/>
          <w:szCs w:val="32"/>
        </w:rPr>
        <w:t>包括与基准年和上一年度对比的情况。</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4.4核算</w:t>
      </w:r>
      <w:r>
        <w:rPr>
          <w:rFonts w:ascii="仿宋_GB2312" w:hAnsi="仿宋" w:eastAsia="仿宋_GB2312"/>
          <w:sz w:val="32"/>
          <w:szCs w:val="32"/>
        </w:rPr>
        <w:t>和报告边界变化（</w:t>
      </w:r>
      <w:r>
        <w:rPr>
          <w:rFonts w:hint="eastAsia" w:ascii="仿宋_GB2312" w:hAnsi="仿宋" w:eastAsia="仿宋_GB2312"/>
          <w:sz w:val="32"/>
          <w:szCs w:val="32"/>
        </w:rPr>
        <w:t>含</w:t>
      </w:r>
      <w:r>
        <w:rPr>
          <w:rFonts w:ascii="仿宋_GB2312" w:hAnsi="仿宋" w:eastAsia="仿宋_GB2312"/>
          <w:sz w:val="32"/>
          <w:szCs w:val="32"/>
        </w:rPr>
        <w:t>设施变化）</w:t>
      </w:r>
      <w:r>
        <w:rPr>
          <w:rFonts w:hint="eastAsia" w:ascii="仿宋_GB2312" w:hAnsi="仿宋" w:eastAsia="仿宋_GB2312"/>
          <w:sz w:val="32"/>
          <w:szCs w:val="32"/>
        </w:rPr>
        <w:t>情况</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ascii="仿宋_GB2312" w:hAnsi="仿宋" w:eastAsia="仿宋_GB2312"/>
          <w:sz w:val="32"/>
          <w:szCs w:val="32"/>
        </w:rPr>
        <w:t>4.4.1</w:t>
      </w:r>
      <w:r>
        <w:rPr>
          <w:rFonts w:ascii="Times New Roman" w:hAnsi="Times New Roman" w:eastAsia="仿宋_GB2312"/>
          <w:kern w:val="2"/>
          <w:sz w:val="32"/>
          <w:szCs w:val="32"/>
          <w:lang w:val="en-US"/>
        </w:rPr>
        <w:t>本年度场所边界的变化</w:t>
      </w:r>
      <w:r>
        <w:rPr>
          <w:rFonts w:hint="eastAsia" w:ascii="Times New Roman" w:hAnsi="Times New Roman" w:eastAsia="仿宋_GB2312"/>
          <w:kern w:val="2"/>
          <w:sz w:val="32"/>
          <w:szCs w:val="32"/>
          <w:lang w:val="en-US"/>
        </w:rPr>
        <w:t>，</w:t>
      </w:r>
      <w:r>
        <w:rPr>
          <w:rFonts w:ascii="仿宋_GB2312" w:hAnsi="仿宋" w:eastAsia="仿宋_GB2312"/>
          <w:sz w:val="32"/>
          <w:szCs w:val="32"/>
        </w:rPr>
        <w:t>包括与基准年和上一年度对比的情况</w:t>
      </w:r>
      <w:r>
        <w:rPr>
          <w:rFonts w:hint="eastAsia" w:ascii="仿宋_GB2312" w:hAnsi="仿宋" w:eastAsia="仿宋_GB2312"/>
          <w:sz w:val="32"/>
          <w:szCs w:val="32"/>
        </w:rPr>
        <w:t>；</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ascii="仿宋_GB2312" w:hAnsi="仿宋" w:eastAsia="仿宋_GB2312"/>
          <w:sz w:val="32"/>
          <w:szCs w:val="32"/>
        </w:rPr>
        <w:t>4.4.2</w:t>
      </w:r>
      <w:r>
        <w:rPr>
          <w:rFonts w:ascii="Times New Roman" w:hAnsi="Times New Roman" w:eastAsia="仿宋"/>
          <w:kern w:val="2"/>
          <w:sz w:val="32"/>
          <w:szCs w:val="32"/>
          <w:lang w:val="en-US"/>
        </w:rPr>
        <w:t>本年度排放设施的变化</w:t>
      </w:r>
      <w:r>
        <w:rPr>
          <w:rFonts w:hint="eastAsia" w:ascii="Times New Roman" w:hAnsi="Times New Roman" w:eastAsia="仿宋"/>
          <w:kern w:val="2"/>
          <w:sz w:val="32"/>
          <w:szCs w:val="32"/>
          <w:lang w:val="en-US"/>
        </w:rPr>
        <w:t>，包括是否</w:t>
      </w:r>
      <w:r>
        <w:rPr>
          <w:rFonts w:ascii="Times New Roman" w:hAnsi="Times New Roman" w:eastAsia="仿宋"/>
          <w:kern w:val="2"/>
          <w:sz w:val="32"/>
          <w:szCs w:val="32"/>
          <w:lang w:val="en-US"/>
        </w:rPr>
        <w:t>符合既有设施调整、</w:t>
      </w:r>
      <w:r>
        <w:rPr>
          <w:rFonts w:hint="eastAsia" w:ascii="Times New Roman" w:hAnsi="Times New Roman" w:eastAsia="仿宋"/>
          <w:kern w:val="2"/>
          <w:sz w:val="32"/>
          <w:szCs w:val="32"/>
          <w:lang w:val="en-US"/>
        </w:rPr>
        <w:t>既有</w:t>
      </w:r>
      <w:r>
        <w:rPr>
          <w:rFonts w:ascii="Times New Roman" w:hAnsi="Times New Roman" w:eastAsia="仿宋"/>
          <w:kern w:val="2"/>
          <w:sz w:val="32"/>
          <w:szCs w:val="32"/>
          <w:lang w:val="en-US"/>
        </w:rPr>
        <w:t>设施退出、新增设施</w:t>
      </w:r>
      <w:r>
        <w:rPr>
          <w:rFonts w:hint="eastAsia" w:ascii="Times New Roman" w:hAnsi="Times New Roman" w:eastAsia="仿宋"/>
          <w:kern w:val="2"/>
          <w:sz w:val="32"/>
          <w:szCs w:val="32"/>
          <w:lang w:val="en-US"/>
        </w:rPr>
        <w:t>、</w:t>
      </w:r>
      <w:r>
        <w:rPr>
          <w:rFonts w:ascii="Times New Roman" w:hAnsi="Times New Roman" w:eastAsia="仿宋"/>
          <w:kern w:val="2"/>
          <w:sz w:val="32"/>
          <w:szCs w:val="32"/>
          <w:lang w:val="en-US"/>
        </w:rPr>
        <w:t>新增替代既有</w:t>
      </w:r>
      <w:r>
        <w:rPr>
          <w:rFonts w:hint="eastAsia" w:ascii="Times New Roman" w:hAnsi="Times New Roman" w:eastAsia="仿宋"/>
          <w:kern w:val="2"/>
          <w:sz w:val="32"/>
          <w:szCs w:val="32"/>
          <w:lang w:val="en-US"/>
        </w:rPr>
        <w:t>设施的</w:t>
      </w:r>
      <w:r>
        <w:rPr>
          <w:rFonts w:ascii="Times New Roman" w:hAnsi="Times New Roman" w:eastAsia="仿宋"/>
          <w:kern w:val="2"/>
          <w:sz w:val="32"/>
          <w:szCs w:val="32"/>
          <w:lang w:val="en-US"/>
        </w:rPr>
        <w:t>活动水平和排放量等情况</w:t>
      </w:r>
      <w:r>
        <w:rPr>
          <w:rFonts w:hint="eastAsia" w:ascii="Times New Roman" w:hAnsi="Times New Roman" w:eastAsia="仿宋"/>
          <w:kern w:val="2"/>
          <w:sz w:val="32"/>
          <w:szCs w:val="32"/>
          <w:lang w:val="en-US"/>
        </w:rPr>
        <w:t>。</w:t>
      </w:r>
    </w:p>
    <w:p>
      <w:pPr>
        <w:pStyle w:val="50"/>
        <w:widowControl w:val="0"/>
        <w:numPr>
          <w:ilvl w:val="0"/>
          <w:numId w:val="29"/>
        </w:numPr>
        <w:spacing w:after="0" w:line="560" w:lineRule="exact"/>
        <w:ind w:left="851" w:hanging="425"/>
        <w:jc w:val="both"/>
        <w:rPr>
          <w:rFonts w:ascii="仿宋_GB2312" w:hAnsi="仿宋" w:eastAsia="仿宋_GB2312"/>
          <w:sz w:val="32"/>
          <w:szCs w:val="32"/>
        </w:rPr>
      </w:pPr>
      <w:r>
        <w:rPr>
          <w:rFonts w:hint="eastAsia" w:ascii="仿宋_GB2312" w:hAnsi="仿宋" w:eastAsia="仿宋_GB2312"/>
          <w:sz w:val="32"/>
          <w:szCs w:val="32"/>
        </w:rPr>
        <w:t>4.5核查过程未覆盖到的问题的描述。</w:t>
      </w:r>
    </w:p>
    <w:p>
      <w:pPr>
        <w:spacing w:after="0" w:line="560" w:lineRule="exact"/>
        <w:ind w:firstLine="549" w:firstLineChars="171"/>
        <w:outlineLvl w:val="0"/>
        <w:rPr>
          <w:rFonts w:ascii="仿宋_GB2312" w:hAnsi="仿宋" w:eastAsia="仿宋_GB2312"/>
          <w:b/>
          <w:sz w:val="32"/>
          <w:szCs w:val="32"/>
        </w:rPr>
      </w:pPr>
      <w:r>
        <w:rPr>
          <w:rFonts w:hint="eastAsia" w:ascii="仿宋_GB2312" w:hAnsi="仿宋" w:eastAsia="仿宋_GB2312"/>
          <w:b/>
          <w:sz w:val="32"/>
          <w:szCs w:val="32"/>
        </w:rPr>
        <w:t>5. 附件</w:t>
      </w:r>
    </w:p>
    <w:p>
      <w:pPr>
        <w:spacing w:after="0" w:line="560" w:lineRule="exact"/>
        <w:ind w:firstLine="549" w:firstLineChars="171"/>
        <w:rPr>
          <w:rFonts w:ascii="仿宋_GB2312" w:hAnsi="仿宋" w:eastAsia="仿宋_GB2312"/>
          <w:b/>
          <w:sz w:val="32"/>
          <w:szCs w:val="32"/>
        </w:rPr>
      </w:pPr>
      <w:r>
        <w:rPr>
          <w:rFonts w:hint="eastAsia" w:ascii="仿宋_GB2312" w:hAnsi="仿宋" w:eastAsia="仿宋_GB2312"/>
          <w:b/>
          <w:sz w:val="32"/>
          <w:szCs w:val="32"/>
        </w:rPr>
        <w:t>附件1：不符合清单</w:t>
      </w:r>
    </w:p>
    <w:p>
      <w:pPr>
        <w:spacing w:after="0" w:line="560" w:lineRule="exact"/>
        <w:ind w:firstLine="564"/>
        <w:jc w:val="both"/>
        <w:rPr>
          <w:rFonts w:ascii="仿宋_GB2312" w:hAnsi="仿宋" w:eastAsia="仿宋_GB2312"/>
          <w:sz w:val="32"/>
          <w:szCs w:val="32"/>
        </w:rPr>
      </w:pPr>
      <w:r>
        <w:rPr>
          <w:rFonts w:hint="eastAsia" w:ascii="仿宋_GB2312" w:hAnsi="仿宋" w:eastAsia="仿宋_GB2312"/>
          <w:sz w:val="32"/>
          <w:szCs w:val="32"/>
        </w:rPr>
        <w:t>核查机构应采用如下格式，详细报告在核查过程中开具的不符合，以及重点碳排放单位对不符合的原因分析、纠正及纠正措施以及最终的核查结论。</w:t>
      </w:r>
    </w:p>
    <w:p>
      <w:pPr>
        <w:spacing w:after="0" w:line="560" w:lineRule="exact"/>
        <w:ind w:firstLine="564"/>
        <w:rPr>
          <w:rFonts w:ascii="仿宋_GB2312" w:hAnsi="仿宋" w:eastAsia="仿宋_GB2312"/>
          <w:sz w:val="32"/>
          <w:szCs w:val="32"/>
        </w:rPr>
      </w:pPr>
    </w:p>
    <w:p>
      <w:pPr>
        <w:spacing w:after="0" w:line="560" w:lineRule="exact"/>
        <w:ind w:firstLine="564"/>
        <w:rPr>
          <w:rFonts w:ascii="仿宋_GB2312" w:hAnsi="仿宋" w:eastAsia="仿宋_GB2312"/>
          <w:sz w:val="32"/>
          <w:szCs w:val="32"/>
        </w:rPr>
      </w:pPr>
    </w:p>
    <w:tbl>
      <w:tblPr>
        <w:tblStyle w:val="3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1189"/>
        <w:gridCol w:w="2739"/>
        <w:gridCol w:w="311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after="0" w:line="560" w:lineRule="exact"/>
              <w:jc w:val="center"/>
              <w:rPr>
                <w:rFonts w:ascii="仿宋_GB2312" w:hAnsi="仿宋" w:eastAsia="仿宋_GB2312" w:cs="宋体"/>
                <w:b/>
                <w:bCs/>
                <w:sz w:val="28"/>
                <w:szCs w:val="28"/>
              </w:rPr>
            </w:pPr>
            <w:r>
              <w:rPr>
                <w:rFonts w:hint="eastAsia" w:ascii="仿宋_GB2312" w:hAnsi="仿宋" w:eastAsia="仿宋_GB2312" w:cs="宋体"/>
                <w:b/>
                <w:bCs/>
                <w:sz w:val="28"/>
                <w:szCs w:val="28"/>
              </w:rPr>
              <w:t>序号</w:t>
            </w:r>
          </w:p>
        </w:tc>
        <w:tc>
          <w:tcPr>
            <w:tcW w:w="1189" w:type="dxa"/>
          </w:tcPr>
          <w:p>
            <w:pPr>
              <w:spacing w:after="0" w:line="560" w:lineRule="exact"/>
              <w:jc w:val="center"/>
              <w:rPr>
                <w:rFonts w:ascii="仿宋_GB2312" w:hAnsi="仿宋" w:eastAsia="仿宋_GB2312" w:cs="宋体"/>
                <w:b/>
                <w:bCs/>
                <w:sz w:val="28"/>
                <w:szCs w:val="28"/>
              </w:rPr>
            </w:pPr>
            <w:r>
              <w:rPr>
                <w:rFonts w:hint="eastAsia" w:ascii="仿宋_GB2312" w:hAnsi="仿宋" w:eastAsia="仿宋_GB2312" w:cs="宋体"/>
                <w:b/>
                <w:bCs/>
                <w:sz w:val="28"/>
                <w:szCs w:val="28"/>
              </w:rPr>
              <w:t>不符合描述</w:t>
            </w:r>
          </w:p>
        </w:tc>
        <w:tc>
          <w:tcPr>
            <w:tcW w:w="2739" w:type="dxa"/>
          </w:tcPr>
          <w:p>
            <w:pPr>
              <w:spacing w:after="0" w:line="560" w:lineRule="exact"/>
              <w:jc w:val="center"/>
              <w:rPr>
                <w:rFonts w:ascii="仿宋_GB2312" w:hAnsi="仿宋" w:eastAsia="仿宋_GB2312" w:cs="宋体"/>
                <w:b/>
                <w:bCs/>
                <w:sz w:val="28"/>
                <w:szCs w:val="28"/>
              </w:rPr>
            </w:pPr>
            <w:r>
              <w:rPr>
                <w:rFonts w:hint="eastAsia" w:ascii="仿宋_GB2312" w:hAnsi="仿宋" w:eastAsia="仿宋_GB2312" w:cs="宋体"/>
                <w:b/>
                <w:bCs/>
                <w:sz w:val="28"/>
                <w:szCs w:val="28"/>
              </w:rPr>
              <w:t>重点碳排放单位原因分析</w:t>
            </w:r>
          </w:p>
        </w:tc>
        <w:tc>
          <w:tcPr>
            <w:tcW w:w="3119" w:type="dxa"/>
          </w:tcPr>
          <w:p>
            <w:pPr>
              <w:spacing w:after="0" w:line="560" w:lineRule="exact"/>
              <w:jc w:val="center"/>
              <w:rPr>
                <w:rFonts w:ascii="仿宋_GB2312" w:hAnsi="仿宋" w:eastAsia="仿宋_GB2312" w:cs="宋体"/>
                <w:b/>
                <w:bCs/>
                <w:sz w:val="28"/>
                <w:szCs w:val="28"/>
              </w:rPr>
            </w:pPr>
            <w:r>
              <w:rPr>
                <w:rFonts w:hint="eastAsia" w:ascii="仿宋_GB2312" w:hAnsi="仿宋" w:eastAsia="仿宋_GB2312" w:cs="宋体"/>
                <w:b/>
                <w:bCs/>
                <w:sz w:val="28"/>
                <w:szCs w:val="28"/>
              </w:rPr>
              <w:t>重点碳排放单位采取的纠正及纠正措施</w:t>
            </w:r>
          </w:p>
        </w:tc>
        <w:tc>
          <w:tcPr>
            <w:tcW w:w="1559" w:type="dxa"/>
          </w:tcPr>
          <w:p>
            <w:pPr>
              <w:spacing w:after="0" w:line="560" w:lineRule="exact"/>
              <w:jc w:val="center"/>
              <w:rPr>
                <w:rFonts w:ascii="仿宋_GB2312" w:hAnsi="仿宋" w:eastAsia="仿宋_GB2312" w:cs="宋体"/>
                <w:b/>
                <w:bCs/>
                <w:sz w:val="28"/>
                <w:szCs w:val="28"/>
              </w:rPr>
            </w:pPr>
            <w:r>
              <w:rPr>
                <w:rFonts w:hint="eastAsia" w:ascii="仿宋_GB2312" w:hAnsi="仿宋" w:eastAsia="仿宋_GB2312" w:cs="宋体"/>
                <w:b/>
                <w:bCs/>
                <w:sz w:val="28"/>
                <w:szCs w:val="28"/>
              </w:rPr>
              <w:t>核查结论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after="0" w:line="560" w:lineRule="exact"/>
              <w:rPr>
                <w:rFonts w:ascii="仿宋_GB2312" w:hAnsi="仿宋" w:eastAsia="仿宋_GB2312"/>
                <w:sz w:val="32"/>
                <w:szCs w:val="32"/>
              </w:rPr>
            </w:pPr>
            <w:r>
              <w:rPr>
                <w:rFonts w:hint="eastAsia" w:ascii="仿宋_GB2312" w:hAnsi="仿宋" w:eastAsia="仿宋_GB2312"/>
                <w:sz w:val="32"/>
                <w:szCs w:val="32"/>
              </w:rPr>
              <w:t>NC1</w:t>
            </w:r>
          </w:p>
        </w:tc>
        <w:tc>
          <w:tcPr>
            <w:tcW w:w="1189" w:type="dxa"/>
          </w:tcPr>
          <w:p>
            <w:pPr>
              <w:spacing w:after="0" w:line="560" w:lineRule="exact"/>
              <w:rPr>
                <w:rFonts w:ascii="仿宋_GB2312" w:hAnsi="仿宋" w:eastAsia="仿宋_GB2312"/>
                <w:sz w:val="32"/>
                <w:szCs w:val="32"/>
              </w:rPr>
            </w:pPr>
          </w:p>
        </w:tc>
        <w:tc>
          <w:tcPr>
            <w:tcW w:w="2739" w:type="dxa"/>
          </w:tcPr>
          <w:p>
            <w:pPr>
              <w:spacing w:after="0" w:line="560" w:lineRule="exact"/>
              <w:rPr>
                <w:rFonts w:ascii="仿宋_GB2312" w:hAnsi="仿宋" w:eastAsia="仿宋_GB2312"/>
                <w:sz w:val="32"/>
                <w:szCs w:val="32"/>
              </w:rPr>
            </w:pPr>
          </w:p>
        </w:tc>
        <w:tc>
          <w:tcPr>
            <w:tcW w:w="3119" w:type="dxa"/>
          </w:tcPr>
          <w:p>
            <w:pPr>
              <w:spacing w:after="0" w:line="560" w:lineRule="exact"/>
              <w:rPr>
                <w:rFonts w:ascii="仿宋_GB2312" w:hAnsi="仿宋" w:eastAsia="仿宋_GB2312"/>
                <w:sz w:val="32"/>
                <w:szCs w:val="32"/>
              </w:rPr>
            </w:pPr>
          </w:p>
        </w:tc>
        <w:tc>
          <w:tcPr>
            <w:tcW w:w="1559" w:type="dxa"/>
          </w:tcPr>
          <w:p>
            <w:pPr>
              <w:spacing w:after="0" w:line="560" w:lineRule="exact"/>
              <w:rPr>
                <w:rFonts w:ascii="仿宋_GB2312" w:hAnsi="仿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after="0" w:line="560" w:lineRule="exact"/>
              <w:rPr>
                <w:rFonts w:ascii="仿宋_GB2312" w:hAnsi="仿宋" w:eastAsia="仿宋_GB2312"/>
                <w:sz w:val="32"/>
                <w:szCs w:val="32"/>
              </w:rPr>
            </w:pPr>
            <w:r>
              <w:rPr>
                <w:rFonts w:hint="eastAsia" w:ascii="仿宋_GB2312" w:hAnsi="仿宋" w:eastAsia="仿宋_GB2312"/>
                <w:sz w:val="32"/>
                <w:szCs w:val="32"/>
              </w:rPr>
              <w:t>NC2</w:t>
            </w:r>
          </w:p>
        </w:tc>
        <w:tc>
          <w:tcPr>
            <w:tcW w:w="1189" w:type="dxa"/>
          </w:tcPr>
          <w:p>
            <w:pPr>
              <w:spacing w:after="0" w:line="560" w:lineRule="exact"/>
              <w:rPr>
                <w:rFonts w:ascii="仿宋_GB2312" w:hAnsi="仿宋" w:eastAsia="仿宋_GB2312"/>
                <w:sz w:val="32"/>
                <w:szCs w:val="32"/>
              </w:rPr>
            </w:pPr>
          </w:p>
        </w:tc>
        <w:tc>
          <w:tcPr>
            <w:tcW w:w="2739" w:type="dxa"/>
          </w:tcPr>
          <w:p>
            <w:pPr>
              <w:spacing w:after="0" w:line="560" w:lineRule="exact"/>
              <w:rPr>
                <w:rFonts w:ascii="仿宋_GB2312" w:hAnsi="仿宋" w:eastAsia="仿宋_GB2312"/>
                <w:sz w:val="32"/>
                <w:szCs w:val="32"/>
              </w:rPr>
            </w:pPr>
          </w:p>
        </w:tc>
        <w:tc>
          <w:tcPr>
            <w:tcW w:w="3119" w:type="dxa"/>
          </w:tcPr>
          <w:p>
            <w:pPr>
              <w:spacing w:after="0" w:line="560" w:lineRule="exact"/>
              <w:rPr>
                <w:rFonts w:ascii="仿宋_GB2312" w:hAnsi="仿宋" w:eastAsia="仿宋_GB2312"/>
                <w:sz w:val="32"/>
                <w:szCs w:val="32"/>
              </w:rPr>
            </w:pPr>
          </w:p>
        </w:tc>
        <w:tc>
          <w:tcPr>
            <w:tcW w:w="1559" w:type="dxa"/>
          </w:tcPr>
          <w:p>
            <w:pPr>
              <w:spacing w:after="0" w:line="560" w:lineRule="exact"/>
              <w:rPr>
                <w:rFonts w:ascii="仿宋_GB2312" w:hAnsi="仿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8" w:type="dxa"/>
          </w:tcPr>
          <w:p>
            <w:pPr>
              <w:spacing w:after="0" w:line="560" w:lineRule="exact"/>
              <w:rPr>
                <w:rFonts w:ascii="仿宋_GB2312" w:hAnsi="仿宋" w:eastAsia="仿宋_GB2312"/>
                <w:sz w:val="32"/>
                <w:szCs w:val="32"/>
              </w:rPr>
            </w:pPr>
            <w:r>
              <w:rPr>
                <w:rFonts w:hint="eastAsia" w:ascii="仿宋_GB2312" w:hAnsi="仿宋" w:eastAsia="仿宋_GB2312"/>
                <w:sz w:val="32"/>
                <w:szCs w:val="32"/>
              </w:rPr>
              <w:t>……</w:t>
            </w:r>
          </w:p>
        </w:tc>
        <w:tc>
          <w:tcPr>
            <w:tcW w:w="1189" w:type="dxa"/>
          </w:tcPr>
          <w:p>
            <w:pPr>
              <w:spacing w:after="0" w:line="560" w:lineRule="exact"/>
              <w:rPr>
                <w:rFonts w:ascii="仿宋_GB2312" w:hAnsi="仿宋" w:eastAsia="仿宋_GB2312"/>
                <w:sz w:val="32"/>
                <w:szCs w:val="32"/>
              </w:rPr>
            </w:pPr>
          </w:p>
        </w:tc>
        <w:tc>
          <w:tcPr>
            <w:tcW w:w="2739" w:type="dxa"/>
          </w:tcPr>
          <w:p>
            <w:pPr>
              <w:spacing w:after="0" w:line="560" w:lineRule="exact"/>
              <w:rPr>
                <w:rFonts w:ascii="仿宋_GB2312" w:hAnsi="仿宋" w:eastAsia="仿宋_GB2312"/>
                <w:sz w:val="32"/>
                <w:szCs w:val="32"/>
              </w:rPr>
            </w:pPr>
          </w:p>
        </w:tc>
        <w:tc>
          <w:tcPr>
            <w:tcW w:w="3119" w:type="dxa"/>
          </w:tcPr>
          <w:p>
            <w:pPr>
              <w:spacing w:after="0" w:line="560" w:lineRule="exact"/>
              <w:rPr>
                <w:rFonts w:ascii="仿宋_GB2312" w:hAnsi="仿宋" w:eastAsia="仿宋_GB2312"/>
                <w:sz w:val="32"/>
                <w:szCs w:val="32"/>
              </w:rPr>
            </w:pPr>
          </w:p>
        </w:tc>
        <w:tc>
          <w:tcPr>
            <w:tcW w:w="1559" w:type="dxa"/>
          </w:tcPr>
          <w:p>
            <w:pPr>
              <w:spacing w:after="0" w:line="560" w:lineRule="exact"/>
              <w:rPr>
                <w:rFonts w:ascii="仿宋_GB2312" w:hAnsi="仿宋" w:eastAsia="仿宋_GB2312"/>
                <w:sz w:val="32"/>
                <w:szCs w:val="32"/>
              </w:rPr>
            </w:pPr>
          </w:p>
        </w:tc>
      </w:tr>
    </w:tbl>
    <w:p>
      <w:pPr>
        <w:spacing w:after="0" w:line="560" w:lineRule="exact"/>
        <w:rPr>
          <w:rFonts w:ascii="仿宋_GB2312" w:hAnsi="仿宋" w:eastAsia="仿宋_GB2312"/>
          <w:sz w:val="32"/>
          <w:szCs w:val="32"/>
        </w:rPr>
      </w:pPr>
    </w:p>
    <w:p>
      <w:pPr>
        <w:spacing w:after="0" w:line="560" w:lineRule="exact"/>
        <w:ind w:firstLine="630" w:firstLineChars="196"/>
        <w:rPr>
          <w:rFonts w:ascii="仿宋_GB2312" w:hAnsi="仿宋" w:eastAsia="仿宋_GB2312"/>
          <w:b/>
          <w:sz w:val="32"/>
          <w:szCs w:val="32"/>
        </w:rPr>
      </w:pPr>
      <w:r>
        <w:rPr>
          <w:rFonts w:hint="eastAsia" w:ascii="仿宋_GB2312" w:hAnsi="仿宋" w:eastAsia="仿宋_GB2312"/>
          <w:b/>
          <w:sz w:val="32"/>
          <w:szCs w:val="32"/>
        </w:rPr>
        <w:t>附件2：对今后数据核算活动的建议</w:t>
      </w:r>
    </w:p>
    <w:p>
      <w:pPr>
        <w:spacing w:after="0" w:line="560" w:lineRule="exact"/>
        <w:ind w:firstLine="564"/>
        <w:jc w:val="both"/>
        <w:rPr>
          <w:rFonts w:ascii="仿宋_GB2312" w:hAnsi="仿宋" w:eastAsia="仿宋_GB2312"/>
          <w:sz w:val="32"/>
          <w:szCs w:val="32"/>
        </w:rPr>
      </w:pPr>
      <w:r>
        <w:rPr>
          <w:rFonts w:hint="eastAsia" w:ascii="仿宋_GB2312" w:hAnsi="仿宋" w:eastAsia="仿宋_GB2312"/>
          <w:sz w:val="32"/>
          <w:szCs w:val="32"/>
        </w:rPr>
        <w:t>核查机构应在核查报告中对重点碳排放单位那些虽然不违反适用的地方标准或核算和报告指南但是将来有可能出现误报告或不符合的情况提出建议。</w:t>
      </w:r>
    </w:p>
    <w:p>
      <w:pPr>
        <w:spacing w:after="0" w:line="560" w:lineRule="exact"/>
        <w:ind w:firstLine="630" w:firstLineChars="196"/>
        <w:jc w:val="both"/>
        <w:outlineLvl w:val="0"/>
        <w:rPr>
          <w:rFonts w:ascii="楷体_GB2312" w:hAnsi="黑体" w:eastAsia="楷体_GB2312"/>
          <w:b/>
          <w:sz w:val="32"/>
          <w:szCs w:val="32"/>
        </w:rPr>
      </w:pPr>
      <w:r>
        <w:rPr>
          <w:rFonts w:hint="eastAsia" w:ascii="楷体_GB2312" w:hAnsi="黑体" w:eastAsia="楷体_GB2312"/>
          <w:b/>
          <w:sz w:val="32"/>
          <w:szCs w:val="32"/>
        </w:rPr>
        <w:t>（五）参考文件</w:t>
      </w:r>
    </w:p>
    <w:p>
      <w:pPr>
        <w:spacing w:after="0" w:line="560" w:lineRule="exact"/>
        <w:ind w:firstLine="645"/>
        <w:jc w:val="both"/>
        <w:rPr>
          <w:rFonts w:ascii="仿宋_GB2312" w:hAnsi="仿宋" w:eastAsia="仿宋_GB2312"/>
          <w:sz w:val="32"/>
          <w:szCs w:val="32"/>
        </w:rPr>
      </w:pPr>
      <w:r>
        <w:rPr>
          <w:rFonts w:hint="eastAsia" w:ascii="仿宋_GB2312" w:hAnsi="仿宋" w:eastAsia="仿宋_GB2312"/>
          <w:sz w:val="32"/>
          <w:szCs w:val="32"/>
        </w:rPr>
        <w:t>核查机构应在核查报告中列出参考文献及核查过程的支持性文件的清单。</w:t>
      </w:r>
    </w:p>
    <w:p>
      <w:pPr>
        <w:spacing w:after="0" w:line="560" w:lineRule="exact"/>
        <w:ind w:firstLine="645"/>
        <w:jc w:val="both"/>
        <w:rPr>
          <w:rFonts w:ascii="仿宋_GB2312" w:hAnsi="仿宋" w:eastAsia="仿宋_GB2312"/>
          <w:sz w:val="32"/>
          <w:szCs w:val="32"/>
        </w:rPr>
      </w:pPr>
    </w:p>
    <w:p>
      <w:pPr>
        <w:spacing w:after="0" w:line="560" w:lineRule="exact"/>
        <w:ind w:firstLine="645"/>
        <w:jc w:val="both"/>
        <w:rPr>
          <w:rFonts w:ascii="仿宋_GB2312" w:hAnsi="仿宋" w:eastAsia="仿宋_GB2312"/>
          <w:bCs/>
          <w:sz w:val="32"/>
          <w:szCs w:val="32"/>
        </w:rPr>
      </w:pPr>
      <w:r>
        <w:rPr>
          <w:rFonts w:hint="eastAsia" w:ascii="仿宋_GB2312" w:hAnsi="仿宋" w:eastAsia="仿宋_GB2312"/>
          <w:sz w:val="32"/>
          <w:szCs w:val="32"/>
        </w:rPr>
        <w:t>附件</w:t>
      </w:r>
      <w:r>
        <w:rPr>
          <w:rFonts w:ascii="仿宋_GB2312" w:hAnsi="仿宋" w:eastAsia="仿宋_GB2312"/>
          <w:sz w:val="32"/>
          <w:szCs w:val="32"/>
        </w:rPr>
        <w:t>：</w:t>
      </w:r>
      <w:r>
        <w:rPr>
          <w:rFonts w:hint="eastAsia" w:ascii="仿宋_GB2312" w:hAnsi="仿宋" w:eastAsia="仿宋_GB2312"/>
          <w:sz w:val="32"/>
          <w:szCs w:val="32"/>
        </w:rPr>
        <w:t>1.</w:t>
      </w:r>
      <w:r>
        <w:rPr>
          <w:rFonts w:hint="eastAsia" w:ascii="仿宋_GB2312" w:hAnsi="仿宋" w:eastAsia="仿宋_GB2312"/>
          <w:bCs/>
          <w:sz w:val="32"/>
          <w:szCs w:val="32"/>
        </w:rPr>
        <w:t>核查报告基本格式</w:t>
      </w:r>
    </w:p>
    <w:p>
      <w:pPr>
        <w:spacing w:after="0" w:line="560" w:lineRule="exact"/>
        <w:ind w:right="850"/>
        <w:rPr>
          <w:rFonts w:ascii="仿宋_GB2312" w:hAnsi="仿宋" w:eastAsia="仿宋_GB2312" w:cs="Arial"/>
          <w:caps/>
          <w:sz w:val="32"/>
          <w:szCs w:val="32"/>
        </w:rPr>
      </w:pPr>
      <w:r>
        <w:rPr>
          <w:rFonts w:ascii="仿宋_GB2312" w:hAnsi="仿宋" w:eastAsia="仿宋_GB2312"/>
          <w:sz w:val="32"/>
          <w:szCs w:val="32"/>
        </w:rPr>
        <w:t xml:space="preserve">          2.</w:t>
      </w:r>
      <w:r>
        <w:rPr>
          <w:rFonts w:hint="eastAsia" w:ascii="仿宋_GB2312" w:hAnsi="仿宋" w:eastAsia="仿宋_GB2312" w:cs="Arial"/>
          <w:caps/>
          <w:sz w:val="32"/>
          <w:szCs w:val="32"/>
        </w:rPr>
        <w:t>扉页核查结论模板</w:t>
      </w:r>
    </w:p>
    <w:p>
      <w:pPr>
        <w:spacing w:after="0" w:line="560" w:lineRule="exact"/>
        <w:ind w:firstLine="645"/>
        <w:jc w:val="both"/>
        <w:rPr>
          <w:rFonts w:ascii="仿宋_GB2312" w:hAnsi="仿宋" w:eastAsia="仿宋_GB2312"/>
          <w:sz w:val="32"/>
          <w:szCs w:val="32"/>
        </w:rPr>
      </w:pPr>
    </w:p>
    <w:p>
      <w:pPr>
        <w:pStyle w:val="150"/>
        <w:spacing w:after="0" w:line="560" w:lineRule="exact"/>
        <w:ind w:left="0"/>
        <w:rPr>
          <w:rFonts w:ascii="黑体" w:hAnsi="黑体" w:eastAsia="黑体"/>
          <w:sz w:val="32"/>
          <w:szCs w:val="32"/>
        </w:rPr>
      </w:pPr>
      <w:r>
        <w:rPr>
          <w:rFonts w:hint="eastAsia" w:ascii="仿宋_GB2312" w:hAnsi="仿宋" w:eastAsia="仿宋_GB2312"/>
          <w:sz w:val="32"/>
          <w:szCs w:val="32"/>
        </w:rPr>
        <w:br w:type="page"/>
      </w:r>
      <w:r>
        <w:rPr>
          <w:rFonts w:hint="eastAsia" w:ascii="黑体" w:hAnsi="黑体" w:eastAsia="黑体"/>
          <w:sz w:val="32"/>
          <w:szCs w:val="32"/>
        </w:rPr>
        <w:t>附件1</w:t>
      </w:r>
    </w:p>
    <w:p>
      <w:pPr>
        <w:spacing w:after="0" w:line="560" w:lineRule="exact"/>
        <w:ind w:right="850"/>
        <w:jc w:val="center"/>
        <w:rPr>
          <w:rFonts w:cs="Arial" w:asciiTheme="majorEastAsia" w:hAnsiTheme="majorEastAsia" w:eastAsiaTheme="majorEastAsia"/>
          <w:b/>
          <w:caps/>
          <w:sz w:val="44"/>
          <w:szCs w:val="44"/>
        </w:rPr>
      </w:pPr>
      <w:r>
        <w:rPr>
          <w:rFonts w:hint="eastAsia" w:cs="Arial" w:asciiTheme="majorEastAsia" w:hAnsiTheme="majorEastAsia" w:eastAsiaTheme="majorEastAsia"/>
          <w:b/>
          <w:caps/>
          <w:sz w:val="44"/>
          <w:szCs w:val="44"/>
        </w:rPr>
        <w:t>核查报告基本格式</w:t>
      </w: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b/>
          <w:bCs/>
          <w:sz w:val="32"/>
          <w:szCs w:val="32"/>
        </w:rPr>
      </w:pPr>
      <w:r>
        <w:rPr>
          <w:rFonts w:hint="eastAsia" w:ascii="仿宋_GB2312" w:hAnsi="仿宋" w:eastAsia="仿宋_GB2312" w:cs="宋体"/>
          <w:b/>
          <w:bCs/>
          <w:sz w:val="32"/>
          <w:szCs w:val="32"/>
        </w:rPr>
        <w:t xml:space="preserve">第一部分  报告封面 </w:t>
      </w:r>
    </w:p>
    <w:p>
      <w:pPr>
        <w:spacing w:after="0" w:line="560" w:lineRule="exact"/>
        <w:rPr>
          <w:rFonts w:ascii="仿宋_GB2312" w:hAnsi="宋体" w:eastAsia="仿宋_GB2312" w:cs="宋体"/>
          <w:sz w:val="32"/>
          <w:szCs w:val="32"/>
        </w:rPr>
      </w:pPr>
    </w:p>
    <w:p>
      <w:pPr>
        <w:spacing w:after="0" w:line="560" w:lineRule="exact"/>
        <w:rPr>
          <w:rFonts w:ascii="仿宋_GB2312" w:hAnsi="宋体" w:eastAsia="仿宋_GB2312" w:cs="宋体"/>
          <w:sz w:val="32"/>
          <w:szCs w:val="32"/>
        </w:rPr>
      </w:pPr>
    </w:p>
    <w:p>
      <w:pPr>
        <w:spacing w:after="0" w:line="560" w:lineRule="exact"/>
        <w:rPr>
          <w:rFonts w:ascii="仿宋_GB2312" w:hAnsi="宋体" w:eastAsia="仿宋_GB2312" w:cs="宋体"/>
          <w:sz w:val="32"/>
          <w:szCs w:val="32"/>
        </w:rPr>
      </w:pPr>
    </w:p>
    <w:p>
      <w:pPr>
        <w:spacing w:after="0" w:line="560" w:lineRule="exact"/>
        <w:jc w:val="center"/>
        <w:rPr>
          <w:rFonts w:ascii="仿宋_GB2312" w:hAnsi="仿宋" w:eastAsia="仿宋_GB2312" w:cs="宋体"/>
          <w:sz w:val="32"/>
          <w:szCs w:val="32"/>
        </w:rPr>
      </w:pPr>
      <w:r>
        <w:rPr>
          <w:rFonts w:hint="eastAsia" w:ascii="仿宋_GB2312" w:hAnsi="仿宋" w:eastAsia="仿宋_GB2312" w:cs="宋体"/>
          <w:sz w:val="32"/>
          <w:szCs w:val="32"/>
        </w:rPr>
        <w:t>**** (重点碳排放单位名称)</w:t>
      </w:r>
    </w:p>
    <w:p>
      <w:pPr>
        <w:spacing w:after="0" w:line="560" w:lineRule="exact"/>
        <w:jc w:val="center"/>
        <w:rPr>
          <w:rFonts w:ascii="仿宋_GB2312" w:hAnsi="仿宋" w:eastAsia="仿宋_GB2312" w:cs="宋体"/>
          <w:sz w:val="32"/>
          <w:szCs w:val="32"/>
        </w:rPr>
      </w:pPr>
      <w:r>
        <w:rPr>
          <w:rFonts w:hint="eastAsia" w:ascii="仿宋_GB2312" w:hAnsi="仿宋" w:eastAsia="仿宋_GB2312" w:cs="宋体"/>
          <w:sz w:val="32"/>
          <w:szCs w:val="32"/>
        </w:rPr>
        <w:t>****年度</w:t>
      </w:r>
    </w:p>
    <w:p>
      <w:pPr>
        <w:spacing w:after="0" w:line="560" w:lineRule="exact"/>
        <w:jc w:val="center"/>
        <w:rPr>
          <w:rFonts w:ascii="仿宋_GB2312" w:hAnsi="仿宋" w:eastAsia="仿宋_GB2312" w:cs="宋体"/>
          <w:sz w:val="32"/>
          <w:szCs w:val="32"/>
        </w:rPr>
      </w:pPr>
      <w:r>
        <w:rPr>
          <w:rFonts w:hint="eastAsia" w:ascii="仿宋_GB2312" w:hAnsi="仿宋" w:eastAsia="仿宋_GB2312" w:cs="宋体"/>
          <w:sz w:val="32"/>
          <w:szCs w:val="32"/>
        </w:rPr>
        <w:t>二氧化碳排放核查报告</w:t>
      </w: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sz w:val="32"/>
          <w:szCs w:val="32"/>
          <w:u w:val="single"/>
        </w:rPr>
      </w:pPr>
      <w:r>
        <w:rPr>
          <w:rFonts w:hint="eastAsia" w:ascii="仿宋_GB2312" w:hAnsi="仿宋" w:eastAsia="仿宋_GB2312" w:cs="宋体"/>
          <w:sz w:val="32"/>
          <w:szCs w:val="32"/>
        </w:rPr>
        <w:t xml:space="preserve">    核查机构名称（公章）：</w:t>
      </w:r>
    </w:p>
    <w:p>
      <w:pPr>
        <w:spacing w:after="0" w:line="560" w:lineRule="exact"/>
        <w:ind w:firstLine="567"/>
        <w:rPr>
          <w:rFonts w:ascii="仿宋_GB2312" w:hAnsi="仿宋" w:eastAsia="仿宋_GB2312" w:cs="宋体"/>
          <w:b/>
          <w:bCs/>
          <w:sz w:val="32"/>
          <w:szCs w:val="32"/>
        </w:rPr>
      </w:pPr>
      <w:r>
        <w:rPr>
          <w:rFonts w:hint="eastAsia" w:ascii="仿宋_GB2312" w:hAnsi="仿宋" w:eastAsia="仿宋_GB2312" w:cs="宋体"/>
          <w:sz w:val="32"/>
          <w:szCs w:val="32"/>
        </w:rPr>
        <w:t>报告日期:</w:t>
      </w:r>
      <w:r>
        <w:rPr>
          <w:rFonts w:hint="eastAsia" w:ascii="仿宋_GB2312" w:hAnsi="仿宋" w:eastAsia="仿宋_GB2312" w:cs="宋体"/>
          <w:sz w:val="32"/>
          <w:szCs w:val="32"/>
        </w:rPr>
        <w:br w:type="page"/>
      </w:r>
      <w:r>
        <w:rPr>
          <w:rFonts w:hint="eastAsia" w:ascii="仿宋_GB2312" w:hAnsi="仿宋" w:eastAsia="仿宋_GB2312" w:cs="宋体"/>
          <w:b/>
          <w:bCs/>
          <w:sz w:val="32"/>
          <w:szCs w:val="32"/>
        </w:rPr>
        <w:t>第二部分  报告扉页</w:t>
      </w:r>
    </w:p>
    <w:tbl>
      <w:tblPr>
        <w:tblStyle w:val="35"/>
        <w:tblW w:w="9498" w:type="dxa"/>
        <w:tblInd w:w="-176" w:type="dxa"/>
        <w:tblLayout w:type="fixed"/>
        <w:tblCellMar>
          <w:top w:w="0" w:type="dxa"/>
          <w:left w:w="108" w:type="dxa"/>
          <w:bottom w:w="0" w:type="dxa"/>
          <w:right w:w="108" w:type="dxa"/>
        </w:tblCellMar>
      </w:tblPr>
      <w:tblGrid>
        <w:gridCol w:w="1844"/>
        <w:gridCol w:w="409"/>
        <w:gridCol w:w="1639"/>
        <w:gridCol w:w="78"/>
        <w:gridCol w:w="850"/>
        <w:gridCol w:w="15"/>
        <w:gridCol w:w="2112"/>
        <w:gridCol w:w="47"/>
        <w:gridCol w:w="236"/>
        <w:gridCol w:w="709"/>
        <w:gridCol w:w="1559"/>
      </w:tblGrid>
      <w:tr>
        <w:tblPrEx>
          <w:tblCellMar>
            <w:top w:w="0" w:type="dxa"/>
            <w:left w:w="108" w:type="dxa"/>
            <w:bottom w:w="0" w:type="dxa"/>
            <w:right w:w="108" w:type="dxa"/>
          </w:tblCellMar>
        </w:tblPrEx>
        <w:tc>
          <w:tcPr>
            <w:tcW w:w="2253" w:type="dxa"/>
            <w:gridSpan w:val="2"/>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委托方名称</w:t>
            </w:r>
          </w:p>
        </w:tc>
        <w:tc>
          <w:tcPr>
            <w:tcW w:w="2582" w:type="dxa"/>
            <w:gridSpan w:val="4"/>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c>
          <w:tcPr>
            <w:tcW w:w="2395" w:type="dxa"/>
            <w:gridSpan w:val="3"/>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sz w:val="24"/>
                <w:szCs w:val="24"/>
              </w:rPr>
              <w:t>地址</w:t>
            </w:r>
          </w:p>
        </w:tc>
        <w:tc>
          <w:tcPr>
            <w:tcW w:w="2268" w:type="dxa"/>
            <w:gridSpan w:val="2"/>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bCs/>
                <w:sz w:val="24"/>
                <w:szCs w:val="24"/>
              </w:rPr>
            </w:pPr>
          </w:p>
        </w:tc>
      </w:tr>
      <w:tr>
        <w:trPr>
          <w:trHeight w:val="336" w:hRule="atLeast"/>
        </w:trPr>
        <w:tc>
          <w:tcPr>
            <w:tcW w:w="2253" w:type="dxa"/>
            <w:gridSpan w:val="2"/>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联系人</w:t>
            </w:r>
          </w:p>
        </w:tc>
        <w:tc>
          <w:tcPr>
            <w:tcW w:w="2582" w:type="dxa"/>
            <w:gridSpan w:val="4"/>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c>
          <w:tcPr>
            <w:tcW w:w="2395" w:type="dxa"/>
            <w:gridSpan w:val="3"/>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sz w:val="24"/>
                <w:szCs w:val="24"/>
              </w:rPr>
              <w:t>联系方式（电话、</w:t>
            </w:r>
            <w:r>
              <w:rPr>
                <w:rFonts w:ascii="仿宋_GB2312" w:hAnsi="仿宋" w:eastAsia="仿宋_GB2312"/>
                <w:sz w:val="24"/>
                <w:szCs w:val="24"/>
              </w:rPr>
              <w:t>email）</w:t>
            </w:r>
          </w:p>
        </w:tc>
        <w:tc>
          <w:tcPr>
            <w:tcW w:w="2268" w:type="dxa"/>
            <w:gridSpan w:val="2"/>
            <w:tcBorders>
              <w:top w:val="single" w:color="000000" w:sz="4" w:space="0"/>
              <w:left w:val="nil"/>
              <w:bottom w:val="single" w:color="000000" w:sz="4" w:space="0"/>
              <w:right w:val="single" w:color="000000" w:sz="4" w:space="0"/>
            </w:tcBorders>
            <w:vAlign w:val="center"/>
          </w:tcPr>
          <w:p>
            <w:pPr>
              <w:spacing w:after="0" w:line="360" w:lineRule="auto"/>
              <w:jc w:val="center"/>
              <w:rPr>
                <w:rFonts w:ascii="仿宋_GB2312" w:hAnsi="仿宋" w:eastAsia="仿宋_GB2312"/>
                <w:bCs/>
                <w:sz w:val="24"/>
                <w:szCs w:val="24"/>
              </w:rPr>
            </w:pPr>
          </w:p>
        </w:tc>
      </w:tr>
      <w:tr>
        <w:tblPrEx>
          <w:tblCellMar>
            <w:top w:w="0" w:type="dxa"/>
            <w:left w:w="108" w:type="dxa"/>
            <w:bottom w:w="0" w:type="dxa"/>
            <w:right w:w="108" w:type="dxa"/>
          </w:tblCellMar>
        </w:tblPrEx>
        <w:tc>
          <w:tcPr>
            <w:tcW w:w="2253" w:type="dxa"/>
            <w:gridSpan w:val="2"/>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核查机构名称</w:t>
            </w:r>
          </w:p>
        </w:tc>
        <w:tc>
          <w:tcPr>
            <w:tcW w:w="2582" w:type="dxa"/>
            <w:gridSpan w:val="4"/>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c>
          <w:tcPr>
            <w:tcW w:w="2395" w:type="dxa"/>
            <w:gridSpan w:val="3"/>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sz w:val="24"/>
                <w:szCs w:val="24"/>
              </w:rPr>
              <w:t>地址</w:t>
            </w:r>
          </w:p>
        </w:tc>
        <w:tc>
          <w:tcPr>
            <w:tcW w:w="2268" w:type="dxa"/>
            <w:gridSpan w:val="2"/>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bCs/>
                <w:sz w:val="24"/>
                <w:szCs w:val="24"/>
              </w:rPr>
            </w:pPr>
          </w:p>
        </w:tc>
      </w:tr>
      <w:tr>
        <w:tblPrEx>
          <w:tblCellMar>
            <w:top w:w="0" w:type="dxa"/>
            <w:left w:w="108" w:type="dxa"/>
            <w:bottom w:w="0" w:type="dxa"/>
            <w:right w:w="108" w:type="dxa"/>
          </w:tblCellMar>
        </w:tblPrEx>
        <w:trPr>
          <w:trHeight w:val="318" w:hRule="atLeast"/>
        </w:trPr>
        <w:tc>
          <w:tcPr>
            <w:tcW w:w="2253" w:type="dxa"/>
            <w:gridSpan w:val="2"/>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联系人</w:t>
            </w:r>
          </w:p>
        </w:tc>
        <w:tc>
          <w:tcPr>
            <w:tcW w:w="2582" w:type="dxa"/>
            <w:gridSpan w:val="4"/>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c>
          <w:tcPr>
            <w:tcW w:w="2395" w:type="dxa"/>
            <w:gridSpan w:val="3"/>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sz w:val="24"/>
                <w:szCs w:val="24"/>
              </w:rPr>
              <w:t>联系方式（电话、</w:t>
            </w:r>
            <w:r>
              <w:rPr>
                <w:rFonts w:ascii="仿宋_GB2312" w:hAnsi="仿宋" w:eastAsia="仿宋_GB2312"/>
                <w:sz w:val="24"/>
                <w:szCs w:val="24"/>
              </w:rPr>
              <w:t>email）</w:t>
            </w:r>
          </w:p>
        </w:tc>
        <w:tc>
          <w:tcPr>
            <w:tcW w:w="2268" w:type="dxa"/>
            <w:gridSpan w:val="2"/>
            <w:tcBorders>
              <w:top w:val="single" w:color="000000" w:sz="4" w:space="0"/>
              <w:left w:val="nil"/>
              <w:bottom w:val="single" w:color="000000" w:sz="4" w:space="0"/>
              <w:right w:val="single" w:color="000000" w:sz="4" w:space="0"/>
            </w:tcBorders>
            <w:vAlign w:val="center"/>
          </w:tcPr>
          <w:p>
            <w:pPr>
              <w:spacing w:after="0" w:line="360" w:lineRule="auto"/>
              <w:jc w:val="center"/>
              <w:rPr>
                <w:rFonts w:ascii="仿宋_GB2312" w:hAnsi="仿宋" w:eastAsia="仿宋_GB2312"/>
                <w:bCs/>
                <w:sz w:val="24"/>
                <w:szCs w:val="24"/>
              </w:rPr>
            </w:pPr>
          </w:p>
        </w:tc>
      </w:tr>
      <w:tr>
        <w:tblPrEx>
          <w:tblCellMar>
            <w:top w:w="0" w:type="dxa"/>
            <w:left w:w="108" w:type="dxa"/>
            <w:bottom w:w="0" w:type="dxa"/>
            <w:right w:w="108" w:type="dxa"/>
          </w:tblCellMar>
        </w:tblPrEx>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二氧化碳排放报告</w:t>
            </w:r>
            <w:r>
              <w:rPr>
                <w:rFonts w:ascii="仿宋_GB2312" w:hAnsi="仿宋" w:eastAsia="仿宋_GB2312" w:cs="宋体"/>
                <w:sz w:val="24"/>
                <w:szCs w:val="24"/>
              </w:rPr>
              <w:t>(初始)版本/日期</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二氧化碳排放报告</w:t>
            </w:r>
            <w:r>
              <w:rPr>
                <w:rFonts w:ascii="仿宋_GB2312" w:hAnsi="仿宋" w:eastAsia="仿宋_GB2312" w:cs="宋体"/>
                <w:sz w:val="24"/>
                <w:szCs w:val="24"/>
              </w:rPr>
              <w:t>(最终)版本/日期</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rPr>
          <w:trHeight w:val="281" w:hRule="atLeast"/>
        </w:trPr>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二氧化碳排放报告期</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rPr>
          <w:trHeight w:val="281" w:hRule="atLeast"/>
        </w:trPr>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二氧化碳排放</w:t>
            </w:r>
            <w:r>
              <w:rPr>
                <w:rFonts w:ascii="仿宋_GB2312" w:hAnsi="仿宋" w:eastAsia="仿宋_GB2312" w:cs="宋体"/>
                <w:sz w:val="24"/>
                <w:szCs w:val="24"/>
              </w:rPr>
              <w:t>报告边界</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经核查后的二氧化碳排放量</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新增设施的排放量及排放强度</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既有</w:t>
            </w:r>
            <w:r>
              <w:rPr>
                <w:rFonts w:ascii="仿宋_GB2312" w:hAnsi="仿宋" w:eastAsia="仿宋_GB2312" w:cs="宋体"/>
                <w:sz w:val="24"/>
                <w:szCs w:val="24"/>
              </w:rPr>
              <w:t>设施退出的</w:t>
            </w:r>
            <w:r>
              <w:rPr>
                <w:rFonts w:hint="eastAsia" w:ascii="仿宋_GB2312" w:hAnsi="仿宋" w:eastAsia="仿宋_GB2312" w:cs="宋体"/>
                <w:sz w:val="24"/>
                <w:szCs w:val="24"/>
              </w:rPr>
              <w:t>基准年</w:t>
            </w:r>
            <w:r>
              <w:rPr>
                <w:rFonts w:ascii="仿宋_GB2312" w:hAnsi="仿宋" w:eastAsia="仿宋_GB2312" w:cs="宋体"/>
                <w:sz w:val="24"/>
                <w:szCs w:val="24"/>
              </w:rPr>
              <w:t>排放量及</w:t>
            </w:r>
            <w:r>
              <w:rPr>
                <w:rFonts w:hint="eastAsia" w:ascii="仿宋_GB2312" w:hAnsi="仿宋" w:eastAsia="仿宋_GB2312" w:cs="宋体"/>
                <w:sz w:val="24"/>
                <w:szCs w:val="24"/>
              </w:rPr>
              <w:t>排放</w:t>
            </w:r>
            <w:r>
              <w:rPr>
                <w:rFonts w:ascii="仿宋_GB2312" w:hAnsi="仿宋" w:eastAsia="仿宋_GB2312" w:cs="宋体"/>
                <w:sz w:val="24"/>
                <w:szCs w:val="24"/>
              </w:rPr>
              <w:t>强度</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替代既有设施的新增设施排放量</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重点碳排放单位所属行业领域</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rPr>
          <w:trHeight w:val="290" w:hRule="atLeast"/>
        </w:trPr>
        <w:tc>
          <w:tcPr>
            <w:tcW w:w="3970" w:type="dxa"/>
            <w:gridSpan w:val="4"/>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标准及方法学</w:t>
            </w:r>
          </w:p>
        </w:tc>
        <w:tc>
          <w:tcPr>
            <w:tcW w:w="5528" w:type="dxa"/>
            <w:gridSpan w:val="7"/>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bCs/>
                <w:sz w:val="24"/>
                <w:szCs w:val="24"/>
              </w:rPr>
            </w:pPr>
          </w:p>
        </w:tc>
      </w:tr>
      <w:tr>
        <w:tblPrEx>
          <w:tblCellMar>
            <w:top w:w="0" w:type="dxa"/>
            <w:left w:w="108" w:type="dxa"/>
            <w:bottom w:w="0" w:type="dxa"/>
            <w:right w:w="108" w:type="dxa"/>
          </w:tblCellMar>
        </w:tblPrEx>
        <w:tc>
          <w:tcPr>
            <w:tcW w:w="9498" w:type="dxa"/>
            <w:gridSpan w:val="11"/>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核查结论</w:t>
            </w:r>
          </w:p>
          <w:p>
            <w:pPr>
              <w:pStyle w:val="58"/>
              <w:spacing w:line="360" w:lineRule="auto"/>
              <w:ind w:firstLine="326"/>
              <w:rPr>
                <w:rFonts w:ascii="仿宋_GB2312" w:hAnsi="仿宋" w:eastAsia="仿宋_GB2312" w:cs="宋体"/>
                <w:color w:val="000000"/>
                <w:spacing w:val="-8"/>
                <w:sz w:val="24"/>
                <w:szCs w:val="24"/>
              </w:rPr>
            </w:pPr>
            <w:r>
              <w:rPr>
                <w:rFonts w:hint="eastAsia" w:ascii="仿宋_GB2312" w:hAnsi="仿宋" w:eastAsia="仿宋_GB2312"/>
                <w:sz w:val="24"/>
                <w:szCs w:val="24"/>
              </w:rPr>
              <w:t>详见附件</w:t>
            </w:r>
            <w:r>
              <w:rPr>
                <w:rFonts w:ascii="仿宋_GB2312" w:hAnsi="仿宋" w:eastAsia="仿宋_GB2312"/>
                <w:sz w:val="24"/>
                <w:szCs w:val="24"/>
              </w:rPr>
              <w:t>的核查结论模板</w:t>
            </w:r>
          </w:p>
        </w:tc>
      </w:tr>
      <w:tr>
        <w:tblPrEx>
          <w:tblCellMar>
            <w:top w:w="0" w:type="dxa"/>
            <w:left w:w="108" w:type="dxa"/>
            <w:bottom w:w="0" w:type="dxa"/>
            <w:right w:w="108" w:type="dxa"/>
          </w:tblCellMar>
        </w:tblPrEx>
        <w:trPr>
          <w:trHeight w:val="359" w:hRule="atLeast"/>
        </w:trPr>
        <w:tc>
          <w:tcPr>
            <w:tcW w:w="184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核查组组长</w:t>
            </w:r>
          </w:p>
        </w:tc>
        <w:tc>
          <w:tcPr>
            <w:tcW w:w="2048" w:type="dxa"/>
            <w:gridSpan w:val="2"/>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p>
        </w:tc>
        <w:tc>
          <w:tcPr>
            <w:tcW w:w="928" w:type="dxa"/>
            <w:gridSpan w:val="2"/>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签名</w:t>
            </w:r>
          </w:p>
        </w:tc>
        <w:tc>
          <w:tcPr>
            <w:tcW w:w="2127" w:type="dxa"/>
            <w:gridSpan w:val="2"/>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p>
        </w:tc>
        <w:tc>
          <w:tcPr>
            <w:tcW w:w="992" w:type="dxa"/>
            <w:gridSpan w:val="3"/>
            <w:tcBorders>
              <w:top w:val="single" w:color="000000" w:sz="4" w:space="0"/>
              <w:left w:val="nil"/>
              <w:bottom w:val="single" w:color="000000"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日期</w:t>
            </w:r>
          </w:p>
        </w:tc>
        <w:tc>
          <w:tcPr>
            <w:tcW w:w="1559" w:type="dxa"/>
            <w:tcBorders>
              <w:top w:val="single" w:color="000000" w:sz="4" w:space="0"/>
              <w:left w:val="nil"/>
              <w:bottom w:val="single" w:color="000000" w:sz="4" w:space="0"/>
              <w:right w:val="single" w:color="000000" w:sz="4" w:space="0"/>
            </w:tcBorders>
          </w:tcPr>
          <w:p>
            <w:pPr>
              <w:spacing w:after="0" w:line="360" w:lineRule="auto"/>
              <w:rPr>
                <w:rFonts w:ascii="仿宋_GB2312" w:hAnsi="仿宋" w:eastAsia="仿宋_GB2312" w:cs="宋体"/>
                <w:b/>
                <w:sz w:val="24"/>
                <w:szCs w:val="24"/>
              </w:rPr>
            </w:pPr>
          </w:p>
        </w:tc>
      </w:tr>
      <w:tr>
        <w:tblPrEx>
          <w:tblCellMar>
            <w:top w:w="0" w:type="dxa"/>
            <w:left w:w="108" w:type="dxa"/>
            <w:bottom w:w="0" w:type="dxa"/>
            <w:right w:w="108" w:type="dxa"/>
          </w:tblCellMar>
        </w:tblPrEx>
        <w:trPr>
          <w:trHeight w:val="257" w:hRule="atLeast"/>
        </w:trPr>
        <w:tc>
          <w:tcPr>
            <w:tcW w:w="1844" w:type="dxa"/>
            <w:tcBorders>
              <w:top w:val="single" w:color="000000" w:sz="4" w:space="0"/>
              <w:left w:val="single" w:color="000000" w:sz="4" w:space="0"/>
              <w:bottom w:val="single" w:color="auto" w:sz="4" w:space="0"/>
              <w:right w:val="single" w:color="000000"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核查组成员</w:t>
            </w:r>
          </w:p>
        </w:tc>
        <w:tc>
          <w:tcPr>
            <w:tcW w:w="7654" w:type="dxa"/>
            <w:gridSpan w:val="10"/>
            <w:tcBorders>
              <w:top w:val="single" w:color="000000" w:sz="4" w:space="0"/>
              <w:left w:val="nil"/>
              <w:bottom w:val="single" w:color="auto" w:sz="4" w:space="0"/>
              <w:right w:val="single" w:color="000000" w:sz="4" w:space="0"/>
            </w:tcBorders>
            <w:vAlign w:val="center"/>
          </w:tcPr>
          <w:p>
            <w:pPr>
              <w:spacing w:after="0" w:line="360" w:lineRule="auto"/>
              <w:rPr>
                <w:rFonts w:ascii="仿宋_GB2312" w:hAnsi="仿宋" w:eastAsia="仿宋_GB2312" w:cs="宋体"/>
                <w:sz w:val="24"/>
                <w:szCs w:val="24"/>
              </w:rPr>
            </w:pPr>
          </w:p>
        </w:tc>
      </w:tr>
      <w:tr>
        <w:tblPrEx>
          <w:tblCellMar>
            <w:top w:w="0" w:type="dxa"/>
            <w:left w:w="108" w:type="dxa"/>
            <w:bottom w:w="0" w:type="dxa"/>
            <w:right w:w="108" w:type="dxa"/>
          </w:tblCellMar>
        </w:tblPrEx>
        <w:trPr>
          <w:trHeight w:val="363" w:hRule="atLeast"/>
        </w:trPr>
        <w:tc>
          <w:tcPr>
            <w:tcW w:w="1844" w:type="dxa"/>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技术复核人</w:t>
            </w:r>
          </w:p>
        </w:tc>
        <w:tc>
          <w:tcPr>
            <w:tcW w:w="2048"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bCs/>
                <w:sz w:val="24"/>
                <w:szCs w:val="24"/>
              </w:rPr>
            </w:pPr>
          </w:p>
        </w:tc>
        <w:tc>
          <w:tcPr>
            <w:tcW w:w="943" w:type="dxa"/>
            <w:gridSpan w:val="3"/>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签名</w:t>
            </w:r>
          </w:p>
        </w:tc>
        <w:tc>
          <w:tcPr>
            <w:tcW w:w="2159"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p>
        </w:tc>
        <w:tc>
          <w:tcPr>
            <w:tcW w:w="945"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日期</w:t>
            </w:r>
          </w:p>
        </w:tc>
        <w:tc>
          <w:tcPr>
            <w:tcW w:w="1559" w:type="dxa"/>
            <w:tcBorders>
              <w:top w:val="single" w:color="auto" w:sz="4" w:space="0"/>
              <w:left w:val="single" w:color="auto" w:sz="4" w:space="0"/>
              <w:bottom w:val="single" w:color="auto" w:sz="4" w:space="0"/>
              <w:right w:val="single" w:color="auto" w:sz="4" w:space="0"/>
            </w:tcBorders>
          </w:tcPr>
          <w:p>
            <w:pPr>
              <w:spacing w:after="0" w:line="360" w:lineRule="auto"/>
              <w:rPr>
                <w:rFonts w:ascii="仿宋_GB2312" w:hAnsi="仿宋" w:eastAsia="仿宋_GB2312" w:cs="宋体"/>
                <w:b/>
                <w:sz w:val="24"/>
                <w:szCs w:val="24"/>
              </w:rPr>
            </w:pPr>
          </w:p>
        </w:tc>
      </w:tr>
      <w:tr>
        <w:tblPrEx>
          <w:tblCellMar>
            <w:top w:w="0" w:type="dxa"/>
            <w:left w:w="108" w:type="dxa"/>
            <w:bottom w:w="0" w:type="dxa"/>
            <w:right w:w="108" w:type="dxa"/>
          </w:tblCellMar>
        </w:tblPrEx>
        <w:trPr>
          <w:trHeight w:val="411" w:hRule="atLeast"/>
        </w:trPr>
        <w:tc>
          <w:tcPr>
            <w:tcW w:w="1844" w:type="dxa"/>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批准人</w:t>
            </w:r>
          </w:p>
        </w:tc>
        <w:tc>
          <w:tcPr>
            <w:tcW w:w="2048"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bCs/>
                <w:sz w:val="24"/>
                <w:szCs w:val="24"/>
              </w:rPr>
            </w:pPr>
          </w:p>
        </w:tc>
        <w:tc>
          <w:tcPr>
            <w:tcW w:w="943" w:type="dxa"/>
            <w:gridSpan w:val="3"/>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签名</w:t>
            </w:r>
          </w:p>
        </w:tc>
        <w:tc>
          <w:tcPr>
            <w:tcW w:w="2159"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p>
        </w:tc>
        <w:tc>
          <w:tcPr>
            <w:tcW w:w="945" w:type="dxa"/>
            <w:gridSpan w:val="2"/>
            <w:tcBorders>
              <w:top w:val="single" w:color="auto" w:sz="4" w:space="0"/>
              <w:left w:val="single" w:color="auto" w:sz="4" w:space="0"/>
              <w:bottom w:val="single" w:color="auto" w:sz="4" w:space="0"/>
              <w:right w:val="single" w:color="auto" w:sz="4" w:space="0"/>
            </w:tcBorders>
            <w:vAlign w:val="center"/>
          </w:tcPr>
          <w:p>
            <w:pPr>
              <w:spacing w:after="0" w:line="360" w:lineRule="auto"/>
              <w:rPr>
                <w:rFonts w:ascii="仿宋_GB2312" w:hAnsi="仿宋" w:eastAsia="仿宋_GB2312" w:cs="宋体"/>
                <w:sz w:val="24"/>
                <w:szCs w:val="24"/>
              </w:rPr>
            </w:pPr>
            <w:r>
              <w:rPr>
                <w:rFonts w:hint="eastAsia" w:ascii="仿宋_GB2312" w:hAnsi="仿宋" w:eastAsia="仿宋_GB2312" w:cs="宋体"/>
                <w:sz w:val="24"/>
                <w:szCs w:val="24"/>
              </w:rPr>
              <w:t>日期</w:t>
            </w:r>
          </w:p>
        </w:tc>
        <w:tc>
          <w:tcPr>
            <w:tcW w:w="1559" w:type="dxa"/>
            <w:tcBorders>
              <w:top w:val="single" w:color="auto" w:sz="4" w:space="0"/>
              <w:left w:val="single" w:color="auto" w:sz="4" w:space="0"/>
              <w:bottom w:val="single" w:color="auto" w:sz="4" w:space="0"/>
              <w:right w:val="single" w:color="auto" w:sz="4" w:space="0"/>
            </w:tcBorders>
          </w:tcPr>
          <w:p>
            <w:pPr>
              <w:spacing w:after="0" w:line="360" w:lineRule="auto"/>
              <w:rPr>
                <w:rFonts w:ascii="仿宋_GB2312" w:hAnsi="仿宋" w:eastAsia="仿宋_GB2312" w:cs="宋体"/>
                <w:b/>
                <w:sz w:val="24"/>
                <w:szCs w:val="24"/>
              </w:rPr>
            </w:pPr>
          </w:p>
        </w:tc>
      </w:tr>
    </w:tbl>
    <w:p>
      <w:pPr>
        <w:spacing w:after="0" w:line="560" w:lineRule="exact"/>
        <w:rPr>
          <w:rFonts w:ascii="仿宋_GB2312" w:hAnsi="仿宋" w:eastAsia="仿宋_GB2312" w:cs="宋体"/>
          <w:sz w:val="32"/>
          <w:szCs w:val="32"/>
        </w:rPr>
      </w:pPr>
    </w:p>
    <w:p>
      <w:pPr>
        <w:spacing w:after="0" w:line="560" w:lineRule="exact"/>
        <w:rPr>
          <w:rFonts w:ascii="仿宋_GB2312" w:hAnsi="仿宋" w:eastAsia="仿宋_GB2312" w:cs="宋体"/>
          <w:b/>
          <w:bCs/>
          <w:sz w:val="32"/>
          <w:szCs w:val="32"/>
        </w:rPr>
      </w:pPr>
      <w:r>
        <w:rPr>
          <w:rFonts w:hint="eastAsia" w:ascii="仿宋_GB2312" w:hAnsi="仿宋" w:eastAsia="仿宋_GB2312" w:cs="宋体"/>
          <w:sz w:val="32"/>
          <w:szCs w:val="32"/>
        </w:rPr>
        <w:br w:type="page"/>
      </w:r>
      <w:r>
        <w:rPr>
          <w:rFonts w:hint="eastAsia" w:ascii="仿宋_GB2312" w:hAnsi="仿宋" w:eastAsia="仿宋_GB2312" w:cs="宋体"/>
          <w:b/>
          <w:bCs/>
          <w:sz w:val="32"/>
          <w:szCs w:val="32"/>
        </w:rPr>
        <w:t>第三部分  目录</w:t>
      </w:r>
    </w:p>
    <w:p>
      <w:pPr>
        <w:spacing w:after="0" w:line="560" w:lineRule="exact"/>
        <w:rPr>
          <w:rFonts w:ascii="仿宋_GB2312" w:hAnsi="仿宋" w:eastAsia="仿宋_GB2312" w:cs="宋体"/>
          <w:b/>
          <w:bCs/>
          <w:sz w:val="32"/>
          <w:szCs w:val="32"/>
        </w:rPr>
      </w:pPr>
      <w:r>
        <w:rPr>
          <w:rFonts w:hint="eastAsia" w:ascii="仿宋_GB2312" w:hAnsi="仿宋" w:eastAsia="仿宋_GB2312" w:cs="宋体"/>
          <w:b/>
          <w:bCs/>
          <w:sz w:val="32"/>
          <w:szCs w:val="32"/>
        </w:rPr>
        <w:t>第四部分  核查报告正文（至少包括以下内容）</w:t>
      </w:r>
    </w:p>
    <w:p>
      <w:pPr>
        <w:spacing w:after="0" w:line="560" w:lineRule="exact"/>
        <w:ind w:right="850"/>
        <w:outlineLvl w:val="0"/>
        <w:rPr>
          <w:rFonts w:ascii="仿宋_GB2312" w:hAnsi="仿宋" w:eastAsia="仿宋_GB2312" w:cs="Arial"/>
          <w:b/>
          <w:sz w:val="32"/>
          <w:szCs w:val="32"/>
        </w:rPr>
      </w:pPr>
      <w:r>
        <w:rPr>
          <w:rFonts w:hint="eastAsia" w:ascii="仿宋_GB2312" w:hAnsi="仿宋" w:eastAsia="仿宋_GB2312" w:cs="Arial"/>
          <w:b/>
          <w:caps/>
          <w:sz w:val="32"/>
          <w:szCs w:val="32"/>
        </w:rPr>
        <w:t>1. 概述</w:t>
      </w:r>
    </w:p>
    <w:p>
      <w:pPr>
        <w:spacing w:after="0" w:line="560" w:lineRule="exact"/>
        <w:ind w:right="851"/>
        <w:rPr>
          <w:rFonts w:ascii="仿宋_GB2312" w:hAnsi="仿宋" w:eastAsia="仿宋_GB2312" w:cs="Arial"/>
          <w:sz w:val="32"/>
          <w:szCs w:val="32"/>
        </w:rPr>
      </w:pPr>
      <w:r>
        <w:rPr>
          <w:rFonts w:hint="eastAsia" w:ascii="仿宋_GB2312" w:hAnsi="仿宋" w:eastAsia="仿宋_GB2312" w:cs="Arial"/>
          <w:sz w:val="32"/>
          <w:szCs w:val="32"/>
        </w:rPr>
        <w:t>1.1. 核查目的</w:t>
      </w:r>
    </w:p>
    <w:p>
      <w:pPr>
        <w:spacing w:after="0" w:line="560" w:lineRule="exact"/>
        <w:ind w:right="851"/>
        <w:rPr>
          <w:rFonts w:ascii="仿宋_GB2312" w:hAnsi="仿宋" w:eastAsia="仿宋_GB2312" w:cs="Arial"/>
          <w:sz w:val="32"/>
          <w:szCs w:val="32"/>
        </w:rPr>
      </w:pPr>
      <w:r>
        <w:rPr>
          <w:rFonts w:hint="eastAsia" w:ascii="仿宋_GB2312" w:hAnsi="仿宋" w:eastAsia="仿宋_GB2312" w:cs="Arial"/>
          <w:sz w:val="32"/>
          <w:szCs w:val="32"/>
        </w:rPr>
        <w:t>1.2. 核查范围</w:t>
      </w:r>
    </w:p>
    <w:p>
      <w:pPr>
        <w:spacing w:after="0" w:line="560" w:lineRule="exact"/>
        <w:ind w:right="851"/>
        <w:rPr>
          <w:rFonts w:ascii="仿宋_GB2312" w:hAnsi="仿宋" w:eastAsia="仿宋_GB2312" w:cs="Arial"/>
          <w:sz w:val="32"/>
          <w:szCs w:val="32"/>
        </w:rPr>
      </w:pPr>
      <w:r>
        <w:rPr>
          <w:rFonts w:hint="eastAsia" w:ascii="仿宋_GB2312" w:hAnsi="仿宋" w:eastAsia="仿宋_GB2312" w:cs="Arial"/>
          <w:sz w:val="32"/>
          <w:szCs w:val="32"/>
        </w:rPr>
        <w:t>1.3. 核查准则</w:t>
      </w:r>
    </w:p>
    <w:p>
      <w:pPr>
        <w:spacing w:after="0" w:line="560" w:lineRule="exact"/>
        <w:ind w:right="850"/>
        <w:outlineLvl w:val="0"/>
        <w:rPr>
          <w:rFonts w:ascii="仿宋_GB2312" w:hAnsi="仿宋" w:eastAsia="仿宋_GB2312" w:cs="Arial"/>
          <w:b/>
          <w:caps/>
          <w:sz w:val="32"/>
          <w:szCs w:val="32"/>
        </w:rPr>
      </w:pPr>
      <w:r>
        <w:rPr>
          <w:rFonts w:hint="eastAsia" w:ascii="仿宋_GB2312" w:hAnsi="仿宋" w:eastAsia="仿宋_GB2312" w:cs="Arial"/>
          <w:b/>
          <w:caps/>
          <w:sz w:val="32"/>
          <w:szCs w:val="32"/>
        </w:rPr>
        <w:t>2. 核查过程和方法</w:t>
      </w:r>
    </w:p>
    <w:p>
      <w:pPr>
        <w:spacing w:after="0" w:line="560" w:lineRule="exact"/>
        <w:ind w:right="851"/>
        <w:rPr>
          <w:rFonts w:ascii="仿宋_GB2312" w:hAnsi="仿宋" w:eastAsia="仿宋_GB2312" w:cs="Arial"/>
          <w:sz w:val="32"/>
          <w:szCs w:val="32"/>
        </w:rPr>
      </w:pPr>
      <w:r>
        <w:rPr>
          <w:rFonts w:hint="eastAsia" w:ascii="仿宋_GB2312" w:hAnsi="仿宋" w:eastAsia="仿宋_GB2312" w:cs="Arial"/>
          <w:sz w:val="32"/>
          <w:szCs w:val="32"/>
        </w:rPr>
        <w:t>2.1. 核查组安排</w:t>
      </w:r>
    </w:p>
    <w:p>
      <w:pPr>
        <w:spacing w:after="0" w:line="560" w:lineRule="exact"/>
        <w:ind w:right="851"/>
        <w:rPr>
          <w:rFonts w:ascii="仿宋_GB2312" w:hAnsi="仿宋" w:eastAsia="仿宋_GB2312" w:cs="Arial"/>
          <w:sz w:val="32"/>
          <w:szCs w:val="32"/>
        </w:rPr>
      </w:pPr>
      <w:r>
        <w:rPr>
          <w:rFonts w:hint="eastAsia" w:ascii="仿宋_GB2312" w:hAnsi="仿宋" w:eastAsia="仿宋_GB2312" w:cs="Arial"/>
          <w:sz w:val="32"/>
          <w:szCs w:val="32"/>
        </w:rPr>
        <w:t>2.2. 文件评审</w:t>
      </w:r>
    </w:p>
    <w:p>
      <w:pPr>
        <w:spacing w:after="0" w:line="560" w:lineRule="exact"/>
        <w:ind w:right="851"/>
        <w:rPr>
          <w:rFonts w:ascii="仿宋_GB2312" w:hAnsi="仿宋" w:eastAsia="仿宋_GB2312" w:cs="Arial"/>
          <w:sz w:val="32"/>
          <w:szCs w:val="32"/>
        </w:rPr>
      </w:pPr>
      <w:r>
        <w:rPr>
          <w:rFonts w:hint="eastAsia" w:ascii="仿宋_GB2312" w:hAnsi="仿宋" w:eastAsia="仿宋_GB2312" w:cs="Arial"/>
          <w:sz w:val="32"/>
          <w:szCs w:val="32"/>
        </w:rPr>
        <w:t>2.3. 现场访问</w:t>
      </w:r>
    </w:p>
    <w:p>
      <w:pPr>
        <w:spacing w:after="0" w:line="560" w:lineRule="exact"/>
        <w:ind w:right="851"/>
        <w:rPr>
          <w:rFonts w:ascii="仿宋_GB2312" w:hAnsi="仿宋" w:eastAsia="仿宋_GB2312" w:cs="Arial"/>
          <w:sz w:val="32"/>
          <w:szCs w:val="32"/>
        </w:rPr>
      </w:pPr>
      <w:r>
        <w:rPr>
          <w:rFonts w:hint="eastAsia" w:ascii="仿宋_GB2312" w:hAnsi="仿宋" w:eastAsia="仿宋_GB2312" w:cs="Arial"/>
          <w:sz w:val="32"/>
          <w:szCs w:val="32"/>
        </w:rPr>
        <w:t>2.4. 核查报告编写及内部技术复核</w:t>
      </w:r>
    </w:p>
    <w:p>
      <w:pPr>
        <w:spacing w:after="0" w:line="560" w:lineRule="exact"/>
        <w:ind w:left="851" w:right="851" w:hanging="851"/>
        <w:rPr>
          <w:rFonts w:ascii="仿宋_GB2312" w:hAnsi="仿宋" w:eastAsia="仿宋_GB2312" w:cs="Arial"/>
          <w:b/>
          <w:sz w:val="32"/>
          <w:szCs w:val="32"/>
        </w:rPr>
      </w:pPr>
      <w:r>
        <w:rPr>
          <w:rFonts w:hint="eastAsia" w:ascii="仿宋_GB2312" w:hAnsi="仿宋" w:eastAsia="仿宋_GB2312" w:cs="Arial"/>
          <w:b/>
          <w:sz w:val="32"/>
          <w:szCs w:val="32"/>
        </w:rPr>
        <w:t>3 .核查发现</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3.1  重点碳排放单位的基本信息的核查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3.2  重点碳排放单位的设施边界及排放源识别的核查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3.3  核算方法、数据与《企业(单位)二氧化碳核算与报告指南》的符合性的核查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3.4  测量设备校准的符合性的核查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3.5  二氧化碳排放量计算过程及结果的核查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3.6</w:t>
      </w:r>
      <w:r>
        <w:rPr>
          <w:rFonts w:hint="eastAsia" w:ascii="仿宋_GB2312" w:hAnsi="仿宋" w:eastAsia="仿宋_GB2312" w:cs="宋体"/>
          <w:sz w:val="32"/>
          <w:szCs w:val="32"/>
        </w:rPr>
        <w:tab/>
      </w:r>
      <w:r>
        <w:rPr>
          <w:rFonts w:hint="eastAsia" w:ascii="仿宋_GB2312" w:hAnsi="仿宋" w:eastAsia="仿宋_GB2312" w:cs="宋体"/>
          <w:sz w:val="32"/>
          <w:szCs w:val="32"/>
        </w:rPr>
        <w:t>新增排放设施及既有设施退出的核查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3.7</w:t>
      </w:r>
      <w:r>
        <w:rPr>
          <w:rFonts w:hint="eastAsia" w:ascii="仿宋_GB2312" w:hAnsi="仿宋" w:eastAsia="仿宋_GB2312" w:cs="宋体"/>
          <w:sz w:val="32"/>
          <w:szCs w:val="32"/>
        </w:rPr>
        <w:tab/>
      </w:r>
      <w:r>
        <w:rPr>
          <w:rFonts w:hint="eastAsia" w:ascii="仿宋_GB2312" w:hAnsi="仿宋" w:eastAsia="仿宋_GB2312" w:cs="宋体"/>
          <w:sz w:val="32"/>
          <w:szCs w:val="32"/>
        </w:rPr>
        <w:t>未来二氧化碳控制措施的核查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3.8 对监测计划的核查</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3.9</w:t>
      </w:r>
      <w:r>
        <w:rPr>
          <w:rFonts w:hint="eastAsia" w:ascii="仿宋_GB2312" w:hAnsi="仿宋" w:eastAsia="仿宋_GB2312" w:cs="宋体"/>
          <w:sz w:val="32"/>
          <w:szCs w:val="32"/>
        </w:rPr>
        <w:tab/>
      </w:r>
      <w:r>
        <w:rPr>
          <w:rFonts w:hint="eastAsia" w:ascii="仿宋_GB2312" w:hAnsi="仿宋" w:eastAsia="仿宋_GB2312" w:cs="宋体"/>
          <w:sz w:val="32"/>
          <w:szCs w:val="32"/>
        </w:rPr>
        <w:t>京内移动设施和京外能源消费总量的核查</w:t>
      </w:r>
    </w:p>
    <w:p>
      <w:pPr>
        <w:spacing w:after="0" w:line="560" w:lineRule="exact"/>
        <w:ind w:right="850"/>
        <w:rPr>
          <w:rFonts w:ascii="仿宋_GB2312" w:hAnsi="仿宋" w:eastAsia="仿宋_GB2312" w:cs="Arial"/>
          <w:caps/>
          <w:sz w:val="32"/>
          <w:szCs w:val="32"/>
        </w:rPr>
      </w:pPr>
      <w:r>
        <w:rPr>
          <w:rFonts w:hint="eastAsia" w:ascii="仿宋_GB2312" w:hAnsi="仿宋" w:eastAsia="仿宋_GB2312" w:cs="Arial"/>
          <w:caps/>
          <w:sz w:val="32"/>
          <w:szCs w:val="32"/>
        </w:rPr>
        <w:t>3.10对数据质量管理的核查</w:t>
      </w:r>
    </w:p>
    <w:p>
      <w:pPr>
        <w:spacing w:after="0" w:line="560" w:lineRule="exact"/>
        <w:ind w:right="850"/>
        <w:outlineLvl w:val="0"/>
        <w:rPr>
          <w:rFonts w:ascii="仿宋_GB2312" w:hAnsi="仿宋" w:eastAsia="仿宋_GB2312" w:cs="Arial"/>
          <w:b/>
          <w:caps/>
          <w:sz w:val="32"/>
          <w:szCs w:val="32"/>
        </w:rPr>
      </w:pPr>
      <w:r>
        <w:rPr>
          <w:rFonts w:hint="eastAsia" w:ascii="仿宋_GB2312" w:hAnsi="仿宋" w:eastAsia="仿宋_GB2312" w:cs="Arial"/>
          <w:b/>
          <w:caps/>
          <w:sz w:val="32"/>
          <w:szCs w:val="32"/>
        </w:rPr>
        <w:t>4. 核查结论</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4.1</w:t>
      </w:r>
      <w:r>
        <w:rPr>
          <w:rFonts w:hint="eastAsia" w:ascii="仿宋_GB2312" w:hAnsi="仿宋" w:eastAsia="仿宋_GB2312" w:cs="宋体"/>
          <w:sz w:val="32"/>
          <w:szCs w:val="32"/>
        </w:rPr>
        <w:tab/>
      </w:r>
      <w:r>
        <w:rPr>
          <w:rFonts w:hint="eastAsia" w:ascii="仿宋_GB2312" w:hAnsi="仿宋" w:eastAsia="仿宋_GB2312" w:cs="宋体"/>
          <w:sz w:val="32"/>
          <w:szCs w:val="32"/>
        </w:rPr>
        <w:t>核算、报告与方法学的符合性</w:t>
      </w:r>
    </w:p>
    <w:p>
      <w:pPr>
        <w:spacing w:after="0" w:line="560" w:lineRule="exact"/>
        <w:ind w:left="640" w:hanging="640" w:hangingChars="200"/>
        <w:rPr>
          <w:rFonts w:ascii="仿宋_GB2312" w:hAnsi="仿宋" w:eastAsia="仿宋_GB2312" w:cs="宋体"/>
          <w:sz w:val="32"/>
          <w:szCs w:val="32"/>
        </w:rPr>
      </w:pPr>
      <w:r>
        <w:rPr>
          <w:rFonts w:hint="eastAsia" w:ascii="仿宋_GB2312" w:hAnsi="仿宋" w:eastAsia="仿宋_GB2312" w:cs="宋体"/>
          <w:sz w:val="32"/>
          <w:szCs w:val="32"/>
        </w:rPr>
        <w:t>4.2</w:t>
      </w:r>
      <w:r>
        <w:rPr>
          <w:rFonts w:hint="eastAsia" w:ascii="仿宋_GB2312" w:hAnsi="仿宋" w:eastAsia="仿宋_GB2312" w:cs="宋体"/>
          <w:sz w:val="32"/>
          <w:szCs w:val="32"/>
        </w:rPr>
        <w:tab/>
      </w:r>
      <w:r>
        <w:rPr>
          <w:rFonts w:hint="eastAsia" w:ascii="仿宋_GB2312" w:hAnsi="仿宋" w:eastAsia="仿宋_GB2312" w:cs="宋体"/>
          <w:sz w:val="32"/>
          <w:szCs w:val="32"/>
        </w:rPr>
        <w:t>本年度排放量及活动水平</w:t>
      </w:r>
      <w:r>
        <w:rPr>
          <w:rFonts w:ascii="仿宋_GB2312" w:hAnsi="仿宋" w:eastAsia="仿宋_GB2312" w:cs="宋体"/>
          <w:sz w:val="32"/>
          <w:szCs w:val="32"/>
        </w:rPr>
        <w:t>数据</w:t>
      </w:r>
      <w:r>
        <w:rPr>
          <w:rFonts w:hint="eastAsia" w:ascii="仿宋_GB2312" w:hAnsi="仿宋" w:eastAsia="仿宋_GB2312" w:cs="宋体"/>
          <w:sz w:val="32"/>
          <w:szCs w:val="32"/>
        </w:rPr>
        <w:t>的声明</w:t>
      </w:r>
    </w:p>
    <w:p>
      <w:pPr>
        <w:spacing w:after="0" w:line="560" w:lineRule="exact"/>
        <w:ind w:left="640" w:hanging="640" w:hangingChars="200"/>
        <w:rPr>
          <w:rFonts w:ascii="仿宋_GB2312" w:hAnsi="仿宋" w:eastAsia="仿宋_GB2312" w:cs="宋体"/>
          <w:sz w:val="32"/>
          <w:szCs w:val="32"/>
        </w:rPr>
      </w:pPr>
      <w:r>
        <w:rPr>
          <w:rFonts w:hint="eastAsia" w:ascii="仿宋_GB2312" w:hAnsi="仿宋" w:eastAsia="仿宋_GB2312" w:cs="宋体"/>
          <w:sz w:val="32"/>
          <w:szCs w:val="32"/>
        </w:rPr>
        <w:t>4.3</w:t>
      </w:r>
      <w:r>
        <w:rPr>
          <w:rFonts w:hint="eastAsia" w:ascii="仿宋_GB2312" w:hAnsi="仿宋" w:eastAsia="仿宋_GB2312"/>
          <w:sz w:val="32"/>
          <w:szCs w:val="32"/>
        </w:rPr>
        <w:t>本年度排放量及</w:t>
      </w:r>
      <w:r>
        <w:rPr>
          <w:rFonts w:ascii="仿宋_GB2312" w:hAnsi="仿宋" w:eastAsia="仿宋_GB2312"/>
          <w:sz w:val="32"/>
          <w:szCs w:val="32"/>
        </w:rPr>
        <w:t>活动水平</w:t>
      </w:r>
      <w:r>
        <w:rPr>
          <w:rFonts w:hint="eastAsia" w:ascii="仿宋_GB2312" w:hAnsi="仿宋" w:eastAsia="仿宋_GB2312"/>
          <w:sz w:val="32"/>
          <w:szCs w:val="32"/>
        </w:rPr>
        <w:t>波动的</w:t>
      </w:r>
      <w:r>
        <w:rPr>
          <w:rFonts w:ascii="仿宋_GB2312" w:hAnsi="仿宋" w:eastAsia="仿宋_GB2312"/>
          <w:sz w:val="32"/>
          <w:szCs w:val="32"/>
        </w:rPr>
        <w:t>原因说明</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4.</w:t>
      </w:r>
      <w:r>
        <w:rPr>
          <w:rFonts w:ascii="仿宋_GB2312" w:hAnsi="仿宋" w:eastAsia="仿宋_GB2312" w:cs="宋体"/>
          <w:sz w:val="32"/>
          <w:szCs w:val="32"/>
        </w:rPr>
        <w:t>4</w:t>
      </w:r>
      <w:r>
        <w:rPr>
          <w:rFonts w:hint="eastAsia" w:ascii="仿宋_GB2312" w:hAnsi="仿宋" w:eastAsia="仿宋_GB2312"/>
          <w:sz w:val="32"/>
          <w:szCs w:val="32"/>
        </w:rPr>
        <w:t>核算</w:t>
      </w:r>
      <w:r>
        <w:rPr>
          <w:rFonts w:ascii="仿宋_GB2312" w:hAnsi="仿宋" w:eastAsia="仿宋_GB2312"/>
          <w:sz w:val="32"/>
          <w:szCs w:val="32"/>
        </w:rPr>
        <w:t>和报告边界变化（</w:t>
      </w:r>
      <w:r>
        <w:rPr>
          <w:rFonts w:hint="eastAsia" w:ascii="仿宋_GB2312" w:hAnsi="仿宋" w:eastAsia="仿宋_GB2312"/>
          <w:sz w:val="32"/>
          <w:szCs w:val="32"/>
        </w:rPr>
        <w:t>含</w:t>
      </w:r>
      <w:r>
        <w:rPr>
          <w:rFonts w:ascii="仿宋_GB2312" w:hAnsi="仿宋" w:eastAsia="仿宋_GB2312"/>
          <w:sz w:val="32"/>
          <w:szCs w:val="32"/>
        </w:rPr>
        <w:t>设施变化）</w:t>
      </w:r>
      <w:r>
        <w:rPr>
          <w:rFonts w:hint="eastAsia" w:ascii="仿宋_GB2312" w:hAnsi="仿宋" w:eastAsia="仿宋_GB2312"/>
          <w:sz w:val="32"/>
          <w:szCs w:val="32"/>
        </w:rPr>
        <w:t>情况</w:t>
      </w:r>
    </w:p>
    <w:p>
      <w:pPr>
        <w:spacing w:after="0" w:line="560" w:lineRule="exact"/>
        <w:rPr>
          <w:rFonts w:ascii="仿宋_GB2312" w:hAnsi="仿宋" w:eastAsia="仿宋_GB2312" w:cs="宋体"/>
          <w:sz w:val="32"/>
          <w:szCs w:val="32"/>
        </w:rPr>
      </w:pPr>
      <w:r>
        <w:rPr>
          <w:rFonts w:hint="eastAsia" w:ascii="仿宋_GB2312" w:hAnsi="仿宋" w:eastAsia="仿宋_GB2312" w:cs="宋体"/>
          <w:sz w:val="32"/>
          <w:szCs w:val="32"/>
        </w:rPr>
        <w:t>4.</w:t>
      </w:r>
      <w:r>
        <w:rPr>
          <w:rFonts w:ascii="仿宋_GB2312" w:hAnsi="仿宋" w:eastAsia="仿宋_GB2312" w:cs="宋体"/>
          <w:sz w:val="32"/>
          <w:szCs w:val="32"/>
        </w:rPr>
        <w:t>5</w:t>
      </w:r>
      <w:r>
        <w:rPr>
          <w:rFonts w:hint="eastAsia" w:ascii="仿宋_GB2312" w:hAnsi="仿宋" w:eastAsia="仿宋_GB2312" w:cs="宋体"/>
          <w:sz w:val="32"/>
          <w:szCs w:val="32"/>
        </w:rPr>
        <w:tab/>
      </w:r>
      <w:r>
        <w:rPr>
          <w:rFonts w:hint="eastAsia" w:ascii="仿宋_GB2312" w:hAnsi="仿宋" w:eastAsia="仿宋_GB2312" w:cs="宋体"/>
          <w:sz w:val="32"/>
          <w:szCs w:val="32"/>
        </w:rPr>
        <w:t>核查过程未覆盖到的问题的描述</w:t>
      </w:r>
    </w:p>
    <w:p>
      <w:pPr>
        <w:spacing w:after="0" w:line="560" w:lineRule="exact"/>
        <w:ind w:right="850"/>
        <w:outlineLvl w:val="0"/>
        <w:rPr>
          <w:rFonts w:ascii="仿宋_GB2312" w:hAnsi="仿宋" w:eastAsia="仿宋_GB2312" w:cs="Arial"/>
          <w:b/>
          <w:caps/>
          <w:sz w:val="32"/>
          <w:szCs w:val="32"/>
        </w:rPr>
      </w:pPr>
      <w:r>
        <w:rPr>
          <w:rFonts w:hint="eastAsia" w:ascii="仿宋_GB2312" w:hAnsi="仿宋" w:eastAsia="仿宋_GB2312" w:cs="Arial"/>
          <w:b/>
          <w:caps/>
          <w:sz w:val="32"/>
          <w:szCs w:val="32"/>
        </w:rPr>
        <w:t>5. 附件</w:t>
      </w:r>
    </w:p>
    <w:p>
      <w:pPr>
        <w:spacing w:after="0" w:line="560" w:lineRule="exact"/>
        <w:ind w:right="850"/>
        <w:rPr>
          <w:rFonts w:ascii="仿宋_GB2312" w:hAnsi="仿宋" w:eastAsia="仿宋_GB2312" w:cs="Arial"/>
          <w:caps/>
          <w:sz w:val="32"/>
          <w:szCs w:val="32"/>
        </w:rPr>
      </w:pPr>
      <w:r>
        <w:rPr>
          <w:rFonts w:hint="eastAsia" w:ascii="仿宋_GB2312" w:hAnsi="仿宋" w:eastAsia="仿宋_GB2312" w:cs="Arial"/>
          <w:caps/>
          <w:sz w:val="32"/>
          <w:szCs w:val="32"/>
        </w:rPr>
        <w:t>附件1：不符合清单</w:t>
      </w:r>
    </w:p>
    <w:p>
      <w:pPr>
        <w:spacing w:after="0" w:line="560" w:lineRule="exact"/>
        <w:ind w:right="850"/>
        <w:rPr>
          <w:rFonts w:ascii="仿宋_GB2312" w:hAnsi="仿宋" w:eastAsia="仿宋_GB2312" w:cs="Arial"/>
          <w:caps/>
          <w:sz w:val="32"/>
          <w:szCs w:val="32"/>
        </w:rPr>
      </w:pPr>
      <w:r>
        <w:rPr>
          <w:rFonts w:hint="eastAsia" w:ascii="仿宋_GB2312" w:hAnsi="仿宋" w:eastAsia="仿宋_GB2312" w:cs="Arial"/>
          <w:caps/>
          <w:sz w:val="32"/>
          <w:szCs w:val="32"/>
        </w:rPr>
        <w:t>附件2：对今后核算活动的建议</w:t>
      </w:r>
    </w:p>
    <w:p>
      <w:pPr>
        <w:spacing w:after="0" w:line="560" w:lineRule="exact"/>
        <w:rPr>
          <w:rFonts w:ascii="仿宋_GB2312" w:hAnsi="仿宋" w:eastAsia="仿宋_GB2312" w:cs="宋体"/>
          <w:b/>
          <w:bCs/>
          <w:sz w:val="32"/>
          <w:szCs w:val="32"/>
        </w:rPr>
      </w:pPr>
    </w:p>
    <w:p>
      <w:pPr>
        <w:spacing w:after="0" w:line="560" w:lineRule="exact"/>
        <w:rPr>
          <w:rFonts w:ascii="仿宋_GB2312" w:hAnsi="仿宋" w:eastAsia="仿宋_GB2312" w:cs="Arial"/>
          <w:caps/>
          <w:sz w:val="32"/>
          <w:szCs w:val="32"/>
        </w:rPr>
      </w:pPr>
      <w:r>
        <w:rPr>
          <w:rFonts w:hint="eastAsia" w:ascii="仿宋_GB2312" w:hAnsi="仿宋" w:eastAsia="仿宋_GB2312" w:cs="宋体"/>
          <w:b/>
          <w:bCs/>
          <w:sz w:val="32"/>
          <w:szCs w:val="32"/>
        </w:rPr>
        <w:t>第五部分  参考文件</w:t>
      </w:r>
      <w:r>
        <w:rPr>
          <w:rFonts w:ascii="仿宋_GB2312" w:hAnsi="仿宋" w:eastAsia="仿宋_GB2312" w:cs="Arial"/>
          <w:caps/>
          <w:sz w:val="32"/>
          <w:szCs w:val="32"/>
        </w:rPr>
        <w:br w:type="page"/>
      </w:r>
    </w:p>
    <w:p>
      <w:pPr>
        <w:spacing w:after="0" w:line="560" w:lineRule="exact"/>
        <w:rPr>
          <w:rFonts w:ascii="黑体" w:hAnsi="黑体" w:eastAsia="黑体"/>
          <w:sz w:val="32"/>
          <w:szCs w:val="32"/>
        </w:rPr>
      </w:pPr>
      <w:r>
        <w:rPr>
          <w:rFonts w:hint="eastAsia" w:ascii="黑体" w:hAnsi="黑体" w:eastAsia="黑体"/>
          <w:sz w:val="32"/>
          <w:szCs w:val="32"/>
        </w:rPr>
        <w:t>附件2</w:t>
      </w:r>
    </w:p>
    <w:p>
      <w:pPr>
        <w:spacing w:after="0" w:line="560" w:lineRule="exact"/>
        <w:ind w:right="850"/>
        <w:jc w:val="center"/>
        <w:rPr>
          <w:rFonts w:cs="Arial" w:asciiTheme="majorEastAsia" w:hAnsiTheme="majorEastAsia" w:eastAsiaTheme="majorEastAsia"/>
          <w:b/>
          <w:caps/>
          <w:sz w:val="44"/>
          <w:szCs w:val="44"/>
        </w:rPr>
      </w:pPr>
    </w:p>
    <w:p>
      <w:pPr>
        <w:spacing w:after="0" w:line="560" w:lineRule="exact"/>
        <w:ind w:right="850"/>
        <w:jc w:val="center"/>
        <w:rPr>
          <w:rFonts w:cs="Arial" w:asciiTheme="majorEastAsia" w:hAnsiTheme="majorEastAsia" w:eastAsiaTheme="majorEastAsia"/>
          <w:b/>
          <w:caps/>
          <w:sz w:val="44"/>
          <w:szCs w:val="44"/>
        </w:rPr>
      </w:pPr>
      <w:r>
        <w:rPr>
          <w:rFonts w:hint="eastAsia" w:cs="Arial" w:asciiTheme="majorEastAsia" w:hAnsiTheme="majorEastAsia" w:eastAsiaTheme="majorEastAsia"/>
          <w:b/>
          <w:caps/>
          <w:sz w:val="44"/>
          <w:szCs w:val="44"/>
        </w:rPr>
        <w:t>扉页核查结论模板</w:t>
      </w:r>
    </w:p>
    <w:p>
      <w:pPr>
        <w:spacing w:after="0" w:line="560" w:lineRule="exact"/>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核查结论</w:t>
      </w:r>
    </w:p>
    <w:p>
      <w:pPr>
        <w:spacing w:after="0" w:line="560" w:lineRule="exact"/>
        <w:ind w:firstLine="640" w:firstLineChars="200"/>
        <w:jc w:val="both"/>
        <w:rPr>
          <w:rFonts w:ascii="Times New Roman" w:hAnsi="Times New Roman" w:eastAsia="仿宋_GB2312"/>
          <w:color w:val="000000" w:themeColor="text1"/>
          <w:sz w:val="32"/>
          <w:szCs w:val="32"/>
        </w:rPr>
      </w:pPr>
      <w:r>
        <w:rPr>
          <w:rFonts w:ascii="Times New Roman" w:hAnsi="Times New Roman" w:eastAsia="仿宋_GB2312"/>
          <w:color w:val="000000" w:themeColor="text1"/>
          <w:sz w:val="32"/>
          <w:szCs w:val="32"/>
        </w:rPr>
        <w:t>Xxxx</w:t>
      </w:r>
      <w:r>
        <w:rPr>
          <w:rFonts w:hint="eastAsia" w:ascii="Times New Roman" w:hAnsi="Times New Roman" w:eastAsia="仿宋_GB2312"/>
          <w:color w:val="000000" w:themeColor="text1"/>
          <w:sz w:val="32"/>
          <w:szCs w:val="32"/>
        </w:rPr>
        <w:t>二氧化碳排放重点排放单位（以下简称排放单位）委托</w:t>
      </w:r>
      <w:r>
        <w:rPr>
          <w:rFonts w:ascii="Times New Roman" w:hAnsi="Times New Roman" w:eastAsia="仿宋_GB2312"/>
          <w:color w:val="000000" w:themeColor="text1"/>
          <w:sz w:val="32"/>
          <w:szCs w:val="32"/>
        </w:rPr>
        <w:t>xxx单位（核查机构）</w:t>
      </w:r>
      <w:r>
        <w:rPr>
          <w:rFonts w:hint="eastAsia" w:ascii="Times New Roman" w:hAnsi="Times New Roman" w:eastAsia="仿宋_GB2312"/>
          <w:color w:val="000000" w:themeColor="text1"/>
          <w:sz w:val="32"/>
          <w:szCs w:val="32"/>
        </w:rPr>
        <w:t>开展</w:t>
      </w:r>
      <w:r>
        <w:rPr>
          <w:rFonts w:ascii="Times New Roman" w:hAnsi="Times New Roman" w:eastAsia="仿宋_GB2312"/>
          <w:color w:val="000000" w:themeColor="text1"/>
          <w:sz w:val="32"/>
          <w:szCs w:val="32"/>
        </w:rPr>
        <w:t>XXXX</w:t>
      </w:r>
      <w:r>
        <w:rPr>
          <w:rFonts w:hint="eastAsia" w:ascii="Times New Roman" w:hAnsi="Times New Roman" w:eastAsia="仿宋_GB2312"/>
          <w:color w:val="000000" w:themeColor="text1"/>
          <w:sz w:val="32"/>
          <w:szCs w:val="32"/>
        </w:rPr>
        <w:t>年二氧化碳排放的核查工作。核查范围包括排放单位所有在北京市辖区内的固定设施和</w:t>
      </w:r>
      <w:r>
        <w:rPr>
          <w:rFonts w:hint="eastAsia" w:ascii="仿宋_GB2312" w:hAnsi="仿宋" w:eastAsia="仿宋_GB2312"/>
          <w:color w:val="000000" w:themeColor="text1"/>
          <w:sz w:val="32"/>
          <w:szCs w:val="32"/>
        </w:rPr>
        <w:t>以北京为注册地的交通运输行业的移动设施产生的二氧化碳直接排放和二氧化碳间接排放</w:t>
      </w:r>
    </w:p>
    <w:p>
      <w:pPr>
        <w:spacing w:after="0" w:line="560" w:lineRule="exact"/>
        <w:ind w:firstLine="640" w:firstLineChars="200"/>
        <w:jc w:val="both"/>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通过文件评审、现场访问、核查报告编写及内部技术复核，核查组对排放单位</w:t>
      </w:r>
      <w:r>
        <w:rPr>
          <w:rFonts w:ascii="Times New Roman" w:hAnsi="Times New Roman" w:eastAsia="仿宋_GB2312"/>
          <w:color w:val="000000" w:themeColor="text1"/>
          <w:sz w:val="32"/>
          <w:szCs w:val="32"/>
        </w:rPr>
        <w:t>XXXX</w:t>
      </w:r>
      <w:r>
        <w:rPr>
          <w:rFonts w:hint="eastAsia" w:ascii="Times New Roman" w:hAnsi="Times New Roman" w:eastAsia="仿宋_GB2312"/>
          <w:color w:val="000000" w:themeColor="text1"/>
          <w:sz w:val="32"/>
          <w:szCs w:val="32"/>
        </w:rPr>
        <w:t>年度二氧化碳排放报告形成如下核查结论：</w:t>
      </w:r>
    </w:p>
    <w:p>
      <w:pPr>
        <w:pStyle w:val="50"/>
        <w:numPr>
          <w:ilvl w:val="0"/>
          <w:numId w:val="30"/>
        </w:numPr>
        <w:spacing w:after="0" w:line="560" w:lineRule="exact"/>
        <w:jc w:val="both"/>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核算、报告与方法学的符合性</w:t>
      </w:r>
    </w:p>
    <w:p>
      <w:pPr>
        <w:spacing w:after="0" w:line="560" w:lineRule="exact"/>
        <w:ind w:firstLine="640" w:firstLineChars="200"/>
        <w:jc w:val="both"/>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核查组确认所有不符合已全部关闭，排放单位的核算与报告均符合地方标准或适用的核算和报告指南（名称）的要求，核查组对本排放报告出具肯定的核查结论。</w:t>
      </w:r>
    </w:p>
    <w:p>
      <w:pPr>
        <w:spacing w:after="0" w:line="560" w:lineRule="exact"/>
        <w:ind w:firstLine="640" w:firstLineChars="200"/>
        <w:jc w:val="both"/>
        <w:rPr>
          <w:rFonts w:ascii="Times New Roman" w:hAnsi="Times New Roman" w:eastAsia="仿宋_GB2312"/>
          <w:color w:val="000000" w:themeColor="text1"/>
          <w:sz w:val="32"/>
          <w:szCs w:val="32"/>
        </w:rPr>
      </w:pPr>
      <w:r>
        <w:rPr>
          <w:rFonts w:ascii="Times New Roman" w:hAnsi="Times New Roman" w:eastAsia="仿宋_GB2312"/>
          <w:color w:val="000000" w:themeColor="text1"/>
          <w:sz w:val="32"/>
          <w:szCs w:val="32"/>
        </w:rPr>
        <w:t>2.</w:t>
      </w:r>
      <w:r>
        <w:rPr>
          <w:rFonts w:hint="eastAsia" w:ascii="Times New Roman" w:hAnsi="Times New Roman" w:eastAsia="仿宋_GB2312"/>
          <w:color w:val="000000" w:themeColor="text1"/>
          <w:sz w:val="32"/>
          <w:szCs w:val="32"/>
        </w:rPr>
        <w:t>本年度排放量及活动水平数据的声明</w:t>
      </w:r>
    </w:p>
    <w:p>
      <w:pPr>
        <w:spacing w:after="0" w:line="560" w:lineRule="exact"/>
        <w:ind w:firstLine="640" w:firstLineChars="200"/>
        <w:jc w:val="both"/>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经核查的直接和间接排放量与最终排放报告中数据一致。经核查的直接排放量为</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吨，间接排放量为</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吨，总排放量为</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w:t>
      </w:r>
    </w:p>
    <w:p>
      <w:pPr>
        <w:spacing w:after="0" w:line="560" w:lineRule="exact"/>
        <w:ind w:firstLine="640" w:firstLineChars="200"/>
        <w:jc w:val="both"/>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经核查活动水平数据</w:t>
      </w:r>
      <w:r>
        <w:rPr>
          <w:rFonts w:ascii="Times New Roman" w:hAnsi="Times New Roman" w:eastAsia="仿宋_GB2312"/>
          <w:color w:val="000000" w:themeColor="text1"/>
          <w:sz w:val="32"/>
          <w:szCs w:val="32"/>
        </w:rPr>
        <w:t>xxx</w:t>
      </w:r>
      <w:r>
        <w:rPr>
          <w:rFonts w:hint="eastAsia" w:ascii="Times New Roman" w:hAnsi="Times New Roman" w:eastAsia="仿宋_GB2312"/>
          <w:color w:val="000000" w:themeColor="text1"/>
          <w:sz w:val="32"/>
          <w:szCs w:val="32"/>
        </w:rPr>
        <w:t>（例如建筑面积）与最终排放报告中数据一致。经核查的建筑面积为</w:t>
      </w:r>
      <w:r>
        <w:rPr>
          <w:rFonts w:ascii="Times New Roman" w:hAnsi="Times New Roman" w:eastAsia="仿宋_GB2312"/>
          <w:color w:val="000000" w:themeColor="text1"/>
          <w:sz w:val="32"/>
          <w:szCs w:val="32"/>
        </w:rPr>
        <w:t>xxx</w:t>
      </w:r>
      <w:r>
        <w:rPr>
          <w:rFonts w:hint="eastAsia" w:ascii="Times New Roman" w:hAnsi="Times New Roman" w:eastAsia="仿宋_GB2312"/>
          <w:color w:val="000000" w:themeColor="text1"/>
          <w:sz w:val="32"/>
          <w:szCs w:val="32"/>
        </w:rPr>
        <w:t>平方米。</w:t>
      </w:r>
    </w:p>
    <w:p>
      <w:pPr>
        <w:spacing w:after="0" w:line="560" w:lineRule="exact"/>
        <w:ind w:firstLine="640" w:firstLineChars="200"/>
        <w:jc w:val="both"/>
        <w:rPr>
          <w:rFonts w:ascii="Times New Roman" w:hAnsi="Times New Roman" w:eastAsia="仿宋_GB2312"/>
          <w:color w:val="000000" w:themeColor="text1"/>
          <w:sz w:val="32"/>
          <w:szCs w:val="32"/>
        </w:rPr>
      </w:pPr>
      <w:r>
        <w:rPr>
          <w:rFonts w:ascii="Times New Roman" w:hAnsi="Times New Roman" w:eastAsia="仿宋_GB2312"/>
          <w:color w:val="000000" w:themeColor="text1"/>
          <w:sz w:val="32"/>
          <w:szCs w:val="32"/>
        </w:rPr>
        <w:t>3.</w:t>
      </w:r>
      <w:r>
        <w:rPr>
          <w:rFonts w:hint="eastAsia" w:ascii="Times New Roman" w:hAnsi="Times New Roman" w:eastAsia="仿宋_GB2312"/>
          <w:color w:val="000000" w:themeColor="text1"/>
          <w:sz w:val="32"/>
          <w:szCs w:val="32"/>
        </w:rPr>
        <w:t>年度排放量及活动水平波动的原因说明</w:t>
      </w:r>
    </w:p>
    <w:p>
      <w:pPr>
        <w:spacing w:after="0" w:line="560" w:lineRule="exact"/>
        <w:ind w:firstLine="640" w:firstLineChars="200"/>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本年度排放量与上一年度排放量相比增加（或减少）</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w:t>
      </w:r>
      <w:r>
        <w:rPr>
          <w:rFonts w:ascii="Times New Roman" w:hAnsi="Times New Roman" w:eastAsia="仿宋_GB2312"/>
          <w:color w:val="000000" w:themeColor="text1"/>
          <w:sz w:val="32"/>
          <w:szCs w:val="32"/>
        </w:rPr>
        <w:t>/x.xx%</w:t>
      </w:r>
      <w:r>
        <w:rPr>
          <w:rFonts w:hint="eastAsia" w:ascii="Times New Roman" w:hAnsi="Times New Roman" w:eastAsia="仿宋_GB2312"/>
          <w:color w:val="000000" w:themeColor="text1"/>
          <w:sz w:val="32"/>
          <w:szCs w:val="32"/>
        </w:rPr>
        <w:t>，其中直接排放相比上一年度增加（或减少）</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w:t>
      </w:r>
      <w:r>
        <w:rPr>
          <w:rFonts w:ascii="Times New Roman" w:hAnsi="Times New Roman" w:eastAsia="仿宋_GB2312"/>
          <w:color w:val="000000" w:themeColor="text1"/>
          <w:sz w:val="32"/>
          <w:szCs w:val="32"/>
        </w:rPr>
        <w:t>/x.xx%</w:t>
      </w:r>
      <w:r>
        <w:rPr>
          <w:rFonts w:hint="eastAsia" w:ascii="Times New Roman" w:hAnsi="Times New Roman" w:eastAsia="仿宋_GB2312"/>
          <w:color w:val="000000" w:themeColor="text1"/>
          <w:sz w:val="32"/>
          <w:szCs w:val="32"/>
        </w:rPr>
        <w:t>，间接排放相比上一年度增加（或减少）</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w:t>
      </w:r>
      <w:r>
        <w:rPr>
          <w:rFonts w:ascii="Times New Roman" w:hAnsi="Times New Roman" w:eastAsia="仿宋_GB2312"/>
          <w:color w:val="000000" w:themeColor="text1"/>
          <w:sz w:val="32"/>
          <w:szCs w:val="32"/>
        </w:rPr>
        <w:t>/x.xx%</w:t>
      </w:r>
      <w:r>
        <w:rPr>
          <w:rFonts w:hint="eastAsia" w:ascii="Times New Roman" w:hAnsi="Times New Roman" w:eastAsia="仿宋_GB2312"/>
          <w:color w:val="000000" w:themeColor="text1"/>
          <w:sz w:val="32"/>
          <w:szCs w:val="32"/>
        </w:rPr>
        <w:t>，原因为</w:t>
      </w:r>
      <w:r>
        <w:rPr>
          <w:rFonts w:ascii="Times New Roman" w:hAnsi="Times New Roman" w:eastAsia="仿宋_GB2312"/>
          <w:color w:val="000000" w:themeColor="text1"/>
          <w:sz w:val="32"/>
          <w:szCs w:val="32"/>
        </w:rPr>
        <w:t>xxxxxxx</w:t>
      </w:r>
      <w:r>
        <w:rPr>
          <w:rFonts w:hint="eastAsia" w:ascii="Times New Roman" w:hAnsi="Times New Roman" w:eastAsia="仿宋_GB2312"/>
          <w:color w:val="000000" w:themeColor="text1"/>
          <w:sz w:val="32"/>
          <w:szCs w:val="32"/>
        </w:rPr>
        <w:t>。</w:t>
      </w:r>
    </w:p>
    <w:p>
      <w:pPr>
        <w:spacing w:after="0" w:line="560" w:lineRule="exact"/>
        <w:ind w:firstLine="640" w:firstLineChars="200"/>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32"/>
          <w:szCs w:val="32"/>
        </w:rPr>
        <w:t>本年度排放量相比历史基准年份排放量相比增加（或减少）</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吨，增加（或减少）比例为</w:t>
      </w:r>
      <w:r>
        <w:rPr>
          <w:rFonts w:ascii="Times New Roman" w:hAnsi="Times New Roman" w:eastAsia="仿宋_GB2312"/>
          <w:color w:val="000000" w:themeColor="text1"/>
          <w:sz w:val="32"/>
          <w:szCs w:val="32"/>
        </w:rPr>
        <w:t>x.xx%；</w:t>
      </w:r>
      <w:r>
        <w:rPr>
          <w:rFonts w:hint="eastAsia" w:ascii="Times New Roman" w:hAnsi="Times New Roman" w:eastAsia="仿宋_GB2312"/>
          <w:color w:val="000000" w:themeColor="text1"/>
          <w:sz w:val="32"/>
          <w:szCs w:val="32"/>
        </w:rPr>
        <w:t>本年度排放量相比上一年度增加（或减少）</w:t>
      </w:r>
      <w:r>
        <w:rPr>
          <w:rFonts w:ascii="Times New Roman" w:hAnsi="Times New Roman" w:eastAsia="仿宋_GB2312"/>
          <w:color w:val="000000" w:themeColor="text1"/>
          <w:sz w:val="32"/>
          <w:szCs w:val="32"/>
        </w:rPr>
        <w:t>xxxx.xx</w:t>
      </w:r>
      <w:r>
        <w:rPr>
          <w:rFonts w:hint="eastAsia" w:ascii="Times New Roman" w:hAnsi="Times New Roman" w:eastAsia="仿宋_GB2312"/>
          <w:color w:val="000000" w:themeColor="text1"/>
          <w:sz w:val="32"/>
          <w:szCs w:val="32"/>
        </w:rPr>
        <w:t>吨，增加（或减少）比例为</w:t>
      </w:r>
      <w:r>
        <w:rPr>
          <w:rFonts w:ascii="Times New Roman" w:hAnsi="Times New Roman" w:eastAsia="仿宋_GB2312"/>
          <w:color w:val="000000" w:themeColor="text1"/>
          <w:sz w:val="32"/>
          <w:szCs w:val="32"/>
        </w:rPr>
        <w:t>x.xx%</w:t>
      </w:r>
      <w:r>
        <w:rPr>
          <w:rFonts w:hint="eastAsia" w:ascii="Times New Roman" w:hAnsi="Times New Roman" w:eastAsia="仿宋_GB2312"/>
          <w:color w:val="000000" w:themeColor="text1"/>
          <w:sz w:val="32"/>
          <w:szCs w:val="32"/>
        </w:rPr>
        <w:t>。</w:t>
      </w:r>
    </w:p>
    <w:p>
      <w:pPr>
        <w:spacing w:after="0" w:line="560" w:lineRule="exact"/>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24"/>
        </w:rPr>
        <w:t>表</w:t>
      </w:r>
      <w:r>
        <w:rPr>
          <w:rFonts w:ascii="Times New Roman" w:hAnsi="Times New Roman" w:eastAsia="仿宋_GB2312"/>
          <w:color w:val="000000" w:themeColor="text1"/>
          <w:sz w:val="24"/>
        </w:rPr>
        <w:t xml:space="preserve">XX  </w:t>
      </w:r>
      <w:r>
        <w:rPr>
          <w:rFonts w:hint="eastAsia" w:ascii="Times New Roman" w:hAnsi="Times New Roman" w:eastAsia="仿宋_GB2312"/>
          <w:color w:val="000000" w:themeColor="text1"/>
          <w:sz w:val="24"/>
        </w:rPr>
        <w:t>排放量汇总表</w:t>
      </w:r>
    </w:p>
    <w:tbl>
      <w:tblPr>
        <w:tblStyle w:val="35"/>
        <w:tblW w:w="79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144"/>
        <w:gridCol w:w="2243"/>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260" w:type="dxa"/>
            <w:vAlign w:val="center"/>
          </w:tcPr>
          <w:p>
            <w:pPr>
              <w:spacing w:after="0" w:line="560" w:lineRule="exact"/>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年度</w:t>
            </w:r>
          </w:p>
        </w:tc>
        <w:tc>
          <w:tcPr>
            <w:tcW w:w="2144" w:type="dxa"/>
            <w:vAlign w:val="center"/>
          </w:tcPr>
          <w:p>
            <w:pPr>
              <w:spacing w:after="0" w:line="560" w:lineRule="exact"/>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43" w:type="dxa"/>
            <w:vAlign w:val="center"/>
          </w:tcPr>
          <w:p>
            <w:pPr>
              <w:spacing w:after="0" w:line="560" w:lineRule="exact"/>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70" w:type="dxa"/>
            <w:vAlign w:val="center"/>
          </w:tcPr>
          <w:p>
            <w:pPr>
              <w:spacing w:after="0" w:line="560" w:lineRule="exact"/>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排放总量（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60"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2016</w:t>
            </w:r>
          </w:p>
        </w:tc>
        <w:tc>
          <w:tcPr>
            <w:tcW w:w="2144"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500.00</w:t>
            </w:r>
          </w:p>
        </w:tc>
        <w:tc>
          <w:tcPr>
            <w:tcW w:w="2243"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14297.00</w:t>
            </w:r>
          </w:p>
        </w:tc>
        <w:tc>
          <w:tcPr>
            <w:tcW w:w="2270" w:type="dxa"/>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14797.00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60"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2017</w:t>
            </w:r>
          </w:p>
        </w:tc>
        <w:tc>
          <w:tcPr>
            <w:tcW w:w="2144"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3000.00</w:t>
            </w:r>
          </w:p>
        </w:tc>
        <w:tc>
          <w:tcPr>
            <w:tcW w:w="2243"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13643.00</w:t>
            </w:r>
          </w:p>
        </w:tc>
        <w:tc>
          <w:tcPr>
            <w:tcW w:w="2270" w:type="dxa"/>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16643.00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60"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2018</w:t>
            </w:r>
          </w:p>
        </w:tc>
        <w:tc>
          <w:tcPr>
            <w:tcW w:w="2144"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3500.00</w:t>
            </w:r>
          </w:p>
        </w:tc>
        <w:tc>
          <w:tcPr>
            <w:tcW w:w="2243"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13500.00</w:t>
            </w:r>
          </w:p>
        </w:tc>
        <w:tc>
          <w:tcPr>
            <w:tcW w:w="2270" w:type="dxa"/>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17000.00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60"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2019</w:t>
            </w:r>
          </w:p>
        </w:tc>
        <w:tc>
          <w:tcPr>
            <w:tcW w:w="2144"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4500.00</w:t>
            </w:r>
          </w:p>
        </w:tc>
        <w:tc>
          <w:tcPr>
            <w:tcW w:w="2243"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13600.00</w:t>
            </w:r>
          </w:p>
        </w:tc>
        <w:tc>
          <w:tcPr>
            <w:tcW w:w="2270" w:type="dxa"/>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18100.00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60"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2020</w:t>
            </w:r>
          </w:p>
        </w:tc>
        <w:tc>
          <w:tcPr>
            <w:tcW w:w="2144"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4500.00</w:t>
            </w:r>
          </w:p>
        </w:tc>
        <w:tc>
          <w:tcPr>
            <w:tcW w:w="2243" w:type="dxa"/>
            <w:noWrap/>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14000.00</w:t>
            </w:r>
          </w:p>
        </w:tc>
        <w:tc>
          <w:tcPr>
            <w:tcW w:w="2270" w:type="dxa"/>
            <w:vAlign w:val="center"/>
          </w:tcPr>
          <w:p>
            <w:pPr>
              <w:spacing w:after="0" w:line="560" w:lineRule="exact"/>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18900.00</w:t>
            </w:r>
          </w:p>
        </w:tc>
      </w:tr>
    </w:tbl>
    <w:p>
      <w:pPr>
        <w:ind w:firstLine="640" w:firstLineChars="200"/>
        <w:rPr>
          <w:rFonts w:ascii="Times New Roman" w:hAnsi="Times New Roman" w:eastAsia="仿宋_GB2312"/>
          <w:sz w:val="32"/>
          <w:szCs w:val="32"/>
        </w:rPr>
      </w:pPr>
    </w:p>
    <w:p>
      <w:pPr>
        <w:ind w:firstLine="440" w:firstLineChars="200"/>
        <w:rPr>
          <w:rFonts w:ascii="Times New Roman" w:hAnsi="Times New Roman" w:eastAsia="仿宋_GB2312"/>
          <w:sz w:val="32"/>
          <w:szCs w:val="32"/>
        </w:rPr>
      </w:pPr>
      <w:r>
        <w:rPr>
          <w:lang w:val="en-US"/>
        </w:rPr>
        <w:drawing>
          <wp:inline distT="0" distB="0" distL="0" distR="0">
            <wp:extent cx="4568825" cy="2740025"/>
            <wp:effectExtent l="0" t="0" r="3175" b="3175"/>
            <wp:docPr id="10" name="图表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pPr>
        <w:jc w:val="center"/>
        <w:rPr>
          <w:rFonts w:ascii="Times New Roman" w:hAnsi="Times New Roman" w:eastAsia="仿宋_GB2312"/>
          <w:color w:val="000000" w:themeColor="text1"/>
          <w:sz w:val="32"/>
          <w:szCs w:val="32"/>
        </w:rPr>
      </w:pPr>
      <w:r>
        <w:rPr>
          <w:rFonts w:hint="eastAsia" w:ascii="Times New Roman" w:hAnsi="Times New Roman" w:eastAsia="仿宋_GB2312"/>
          <w:color w:val="000000" w:themeColor="text1"/>
          <w:sz w:val="24"/>
        </w:rPr>
        <w:t>图</w:t>
      </w:r>
      <w:r>
        <w:rPr>
          <w:rFonts w:ascii="Times New Roman" w:hAnsi="Times New Roman" w:eastAsia="仿宋_GB2312"/>
          <w:color w:val="000000" w:themeColor="text1"/>
          <w:sz w:val="24"/>
        </w:rPr>
        <w:t xml:space="preserve">XX  </w:t>
      </w:r>
      <w:r>
        <w:rPr>
          <w:rFonts w:hint="eastAsia" w:ascii="Times New Roman" w:hAnsi="Times New Roman" w:eastAsia="仿宋_GB2312"/>
          <w:color w:val="000000" w:themeColor="text1"/>
          <w:sz w:val="24"/>
        </w:rPr>
        <w:t>排放量变化趋势图（增加2</w:t>
      </w:r>
      <w:r>
        <w:rPr>
          <w:rFonts w:ascii="Times New Roman" w:hAnsi="Times New Roman" w:eastAsia="仿宋_GB2312"/>
          <w:color w:val="000000" w:themeColor="text1"/>
          <w:sz w:val="24"/>
        </w:rPr>
        <w:t>020年度）</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列表说明从基准年一直到现在每年直接和间接排放量及其变化情况，并说出变化的原因，活动水平的变化等。</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4.核算和报告边界变化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4.1 本年度场所边界的变化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排放单位核算和报告边界为北京市辖区内的xxxxx的厂区（或服务范围），与上一年度相比，增加（或减少）xxxx厂区（或服务范围）；与</w:t>
      </w:r>
      <w:r>
        <w:rPr>
          <w:rFonts w:hint="eastAsia" w:ascii="Times New Roman" w:hAnsi="Times New Roman" w:eastAsia="仿宋_GB2312"/>
          <w:sz w:val="32"/>
          <w:szCs w:val="32"/>
        </w:rPr>
        <w:t>历史</w:t>
      </w:r>
      <w:r>
        <w:rPr>
          <w:rFonts w:ascii="Times New Roman" w:hAnsi="Times New Roman" w:eastAsia="仿宋_GB2312"/>
          <w:sz w:val="32"/>
          <w:szCs w:val="32"/>
        </w:rPr>
        <w:t>基准年相比，增加（或减少）xxx厂区（或服务范围）。</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 xml:space="preserve">4.2 </w:t>
      </w:r>
      <w:r>
        <w:rPr>
          <w:rFonts w:ascii="Times New Roman" w:hAnsi="Times New Roman" w:eastAsia="仿宋"/>
          <w:sz w:val="32"/>
          <w:szCs w:val="32"/>
        </w:rPr>
        <w:t>本年度排放设施的变化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排放单位2018年xxxx设施（或服务范围）截至2018年底运行（或服务）时间不足12个月，符合既有设施排放配额调整的申请条件。此信息供既有设施调整配额参考。</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排放单位退出的既有设施（或服务范围）包括xxx。</w:t>
      </w:r>
    </w:p>
    <w:p>
      <w:pPr>
        <w:spacing w:after="0" w:line="560" w:lineRule="exact"/>
        <w:jc w:val="center"/>
        <w:rPr>
          <w:rFonts w:ascii="Times New Roman" w:hAnsi="Times New Roman" w:eastAsia="仿宋_GB2312"/>
          <w:sz w:val="24"/>
        </w:rPr>
      </w:pPr>
      <w:r>
        <w:rPr>
          <w:rFonts w:ascii="Times New Roman" w:hAnsi="Times New Roman" w:eastAsia="仿宋_GB2312"/>
          <w:sz w:val="24"/>
        </w:rPr>
        <w:t>表XX  既有设施退出信息表</w:t>
      </w:r>
    </w:p>
    <w:tbl>
      <w:tblPr>
        <w:tblStyle w:val="35"/>
        <w:tblW w:w="8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756"/>
        <w:gridCol w:w="1206"/>
        <w:gridCol w:w="576"/>
        <w:gridCol w:w="922"/>
        <w:gridCol w:w="1083"/>
        <w:gridCol w:w="1181"/>
        <w:gridCol w:w="1181"/>
        <w:gridCol w:w="1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462" w:type="dxa"/>
            <w:vMerge w:val="restart"/>
            <w:vAlign w:val="center"/>
          </w:tcPr>
          <w:p>
            <w:pPr>
              <w:spacing w:after="0" w:line="240" w:lineRule="auto"/>
              <w:jc w:val="center"/>
              <w:rPr>
                <w:rFonts w:ascii="Times New Roman" w:hAnsi="Times New Roman" w:eastAsia="仿宋_GB2312"/>
                <w:sz w:val="24"/>
                <w:szCs w:val="24"/>
              </w:rPr>
            </w:pPr>
            <w:r>
              <w:rPr>
                <w:rFonts w:ascii="Times New Roman" w:hAnsi="Times New Roman" w:eastAsia="仿宋_GB2312"/>
                <w:sz w:val="24"/>
                <w:szCs w:val="24"/>
              </w:rPr>
              <w:t>序号</w:t>
            </w:r>
          </w:p>
        </w:tc>
        <w:tc>
          <w:tcPr>
            <w:tcW w:w="756" w:type="dxa"/>
            <w:vMerge w:val="restart"/>
            <w:vAlign w:val="center"/>
          </w:tcPr>
          <w:p>
            <w:pPr>
              <w:spacing w:after="0" w:line="240" w:lineRule="auto"/>
              <w:jc w:val="center"/>
              <w:rPr>
                <w:rFonts w:ascii="Times New Roman" w:hAnsi="Times New Roman" w:eastAsia="仿宋_GB2312"/>
                <w:sz w:val="24"/>
                <w:szCs w:val="24"/>
              </w:rPr>
            </w:pPr>
            <w:r>
              <w:rPr>
                <w:rFonts w:ascii="Times New Roman" w:hAnsi="Times New Roman" w:eastAsia="仿宋_GB2312"/>
                <w:sz w:val="24"/>
                <w:szCs w:val="24"/>
              </w:rPr>
              <w:t>既有设施名称</w:t>
            </w:r>
          </w:p>
        </w:tc>
        <w:tc>
          <w:tcPr>
            <w:tcW w:w="1206" w:type="dxa"/>
            <w:vMerge w:val="restart"/>
            <w:vAlign w:val="center"/>
          </w:tcPr>
          <w:p>
            <w:pPr>
              <w:spacing w:after="0" w:line="240" w:lineRule="auto"/>
              <w:jc w:val="center"/>
              <w:rPr>
                <w:rFonts w:ascii="Times New Roman" w:hAnsi="Times New Roman" w:eastAsia="仿宋_GB2312"/>
                <w:sz w:val="24"/>
                <w:szCs w:val="24"/>
              </w:rPr>
            </w:pPr>
            <w:r>
              <w:rPr>
                <w:rFonts w:hint="eastAsia" w:ascii="Times New Roman" w:hAnsi="Times New Roman" w:eastAsia="仿宋_GB2312"/>
                <w:sz w:val="24"/>
                <w:szCs w:val="24"/>
              </w:rPr>
              <w:t>既有设施对应其它生产信息（如适用）</w:t>
            </w:r>
          </w:p>
        </w:tc>
        <w:tc>
          <w:tcPr>
            <w:tcW w:w="576" w:type="dxa"/>
            <w:vMerge w:val="restart"/>
            <w:vAlign w:val="center"/>
          </w:tcPr>
          <w:p>
            <w:pPr>
              <w:spacing w:after="0" w:line="240" w:lineRule="auto"/>
              <w:jc w:val="center"/>
              <w:rPr>
                <w:rFonts w:ascii="Times New Roman" w:hAnsi="Times New Roman" w:eastAsia="仿宋_GB2312"/>
                <w:sz w:val="24"/>
                <w:szCs w:val="24"/>
              </w:rPr>
            </w:pPr>
            <w:r>
              <w:rPr>
                <w:rFonts w:hint="eastAsia" w:ascii="Times New Roman" w:hAnsi="Times New Roman" w:eastAsia="仿宋_GB2312"/>
                <w:sz w:val="24"/>
                <w:szCs w:val="24"/>
              </w:rPr>
              <w:t>退出时间</w:t>
            </w:r>
          </w:p>
        </w:tc>
        <w:tc>
          <w:tcPr>
            <w:tcW w:w="922" w:type="dxa"/>
            <w:vMerge w:val="restart"/>
            <w:vAlign w:val="center"/>
          </w:tcPr>
          <w:p>
            <w:pPr>
              <w:spacing w:after="0" w:line="240" w:lineRule="auto"/>
              <w:jc w:val="center"/>
              <w:rPr>
                <w:rFonts w:ascii="Times New Roman" w:hAnsi="Times New Roman" w:eastAsia="仿宋_GB2312"/>
                <w:sz w:val="24"/>
                <w:szCs w:val="24"/>
              </w:rPr>
            </w:pPr>
            <w:r>
              <w:rPr>
                <w:rFonts w:hint="eastAsia" w:ascii="Times New Roman" w:hAnsi="Times New Roman" w:eastAsia="仿宋_GB2312"/>
                <w:sz w:val="24"/>
                <w:szCs w:val="24"/>
              </w:rPr>
              <w:t>是否由新增设施替代</w:t>
            </w:r>
          </w:p>
        </w:tc>
        <w:tc>
          <w:tcPr>
            <w:tcW w:w="1083" w:type="dxa"/>
            <w:vMerge w:val="restart"/>
            <w:tcBorders>
              <w:right w:val="single" w:color="auto" w:sz="4" w:space="0"/>
            </w:tcBorders>
            <w:vAlign w:val="center"/>
          </w:tcPr>
          <w:p>
            <w:pPr>
              <w:spacing w:after="0" w:line="240" w:lineRule="auto"/>
              <w:jc w:val="center"/>
              <w:rPr>
                <w:rFonts w:ascii="Times New Roman" w:hAnsi="Times New Roman" w:eastAsia="仿宋_GB2312"/>
                <w:sz w:val="24"/>
                <w:szCs w:val="24"/>
              </w:rPr>
            </w:pPr>
            <w:r>
              <w:rPr>
                <w:rFonts w:hint="eastAsia" w:ascii="Times New Roman" w:hAnsi="Times New Roman" w:eastAsia="仿宋_GB2312"/>
                <w:sz w:val="24"/>
                <w:szCs w:val="24"/>
              </w:rPr>
              <w:t>年度</w:t>
            </w:r>
          </w:p>
        </w:tc>
        <w:tc>
          <w:tcPr>
            <w:tcW w:w="3543" w:type="dxa"/>
            <w:gridSpan w:val="3"/>
            <w:tcBorders>
              <w:left w:val="single" w:color="auto" w:sz="4" w:space="0"/>
            </w:tcBorders>
            <w:vAlign w:val="center"/>
          </w:tcPr>
          <w:p>
            <w:pPr>
              <w:spacing w:after="0" w:line="240" w:lineRule="auto"/>
              <w:jc w:val="center"/>
              <w:rPr>
                <w:rFonts w:ascii="Times New Roman" w:hAnsi="Times New Roman" w:eastAsia="仿宋_GB2312"/>
                <w:sz w:val="24"/>
                <w:szCs w:val="24"/>
              </w:rPr>
            </w:pPr>
            <w:r>
              <w:rPr>
                <w:rFonts w:hint="eastAsia" w:ascii="Times New Roman" w:hAnsi="Times New Roman" w:eastAsia="仿宋_GB2312"/>
                <w:sz w:val="24"/>
                <w:szCs w:val="24"/>
              </w:rPr>
              <w:t>历史年度排放量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462" w:type="dxa"/>
            <w:vMerge w:val="continue"/>
            <w:vAlign w:val="center"/>
          </w:tcPr>
          <w:p>
            <w:pPr>
              <w:jc w:val="center"/>
              <w:rPr>
                <w:rFonts w:ascii="Times New Roman" w:hAnsi="Times New Roman" w:eastAsia="仿宋_GB2312"/>
                <w:sz w:val="24"/>
                <w:szCs w:val="24"/>
              </w:rPr>
            </w:pPr>
          </w:p>
        </w:tc>
        <w:tc>
          <w:tcPr>
            <w:tcW w:w="756" w:type="dxa"/>
            <w:vMerge w:val="continue"/>
            <w:vAlign w:val="center"/>
          </w:tcPr>
          <w:p>
            <w:pPr>
              <w:jc w:val="center"/>
              <w:rPr>
                <w:rFonts w:ascii="Times New Roman" w:hAnsi="Times New Roman" w:eastAsia="仿宋_GB2312"/>
                <w:sz w:val="24"/>
                <w:szCs w:val="24"/>
              </w:rPr>
            </w:pPr>
          </w:p>
        </w:tc>
        <w:tc>
          <w:tcPr>
            <w:tcW w:w="1206" w:type="dxa"/>
            <w:vMerge w:val="continue"/>
            <w:vAlign w:val="center"/>
          </w:tcPr>
          <w:p>
            <w:pPr>
              <w:jc w:val="center"/>
              <w:rPr>
                <w:rFonts w:ascii="Times New Roman" w:hAnsi="Times New Roman" w:eastAsia="仿宋_GB2312"/>
                <w:sz w:val="24"/>
                <w:szCs w:val="24"/>
              </w:rPr>
            </w:pPr>
          </w:p>
        </w:tc>
        <w:tc>
          <w:tcPr>
            <w:tcW w:w="576" w:type="dxa"/>
            <w:vMerge w:val="continue"/>
            <w:vAlign w:val="center"/>
          </w:tcPr>
          <w:p>
            <w:pPr>
              <w:jc w:val="center"/>
              <w:rPr>
                <w:rFonts w:ascii="Times New Roman" w:hAnsi="Times New Roman" w:eastAsia="仿宋_GB2312"/>
                <w:sz w:val="24"/>
                <w:szCs w:val="24"/>
              </w:rPr>
            </w:pPr>
          </w:p>
        </w:tc>
        <w:tc>
          <w:tcPr>
            <w:tcW w:w="922" w:type="dxa"/>
            <w:vMerge w:val="continue"/>
            <w:vAlign w:val="center"/>
          </w:tcPr>
          <w:p>
            <w:pPr>
              <w:jc w:val="center"/>
              <w:rPr>
                <w:rFonts w:ascii="Times New Roman" w:hAnsi="Times New Roman" w:eastAsia="仿宋_GB2312"/>
                <w:sz w:val="24"/>
                <w:szCs w:val="24"/>
              </w:rPr>
            </w:pPr>
          </w:p>
        </w:tc>
        <w:tc>
          <w:tcPr>
            <w:tcW w:w="1083" w:type="dxa"/>
            <w:vMerge w:val="continue"/>
            <w:tcBorders>
              <w:right w:val="single" w:color="auto" w:sz="4" w:space="0"/>
            </w:tcBorders>
            <w:vAlign w:val="center"/>
          </w:tcPr>
          <w:p>
            <w:pPr>
              <w:jc w:val="center"/>
              <w:rPr>
                <w:rFonts w:ascii="Times New Roman" w:hAnsi="Times New Roman" w:eastAsia="仿宋_GB2312"/>
                <w:sz w:val="24"/>
                <w:szCs w:val="24"/>
              </w:rPr>
            </w:pPr>
          </w:p>
        </w:tc>
        <w:tc>
          <w:tcPr>
            <w:tcW w:w="1181" w:type="dxa"/>
            <w:tcBorders>
              <w:left w:val="single" w:color="auto" w:sz="4" w:space="0"/>
            </w:tcBorders>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直接排放量</w:t>
            </w:r>
          </w:p>
          <w:p>
            <w:pPr>
              <w:jc w:val="center"/>
              <w:rPr>
                <w:rFonts w:ascii="Times New Roman" w:hAnsi="Times New Roman" w:eastAsia="仿宋_GB2312"/>
                <w:sz w:val="24"/>
                <w:szCs w:val="24"/>
              </w:rPr>
            </w:pPr>
            <w:r>
              <w:rPr>
                <w:rFonts w:hint="eastAsia" w:ascii="Times New Roman" w:hAnsi="Times New Roman" w:eastAsia="仿宋_GB2312"/>
                <w:sz w:val="24"/>
                <w:szCs w:val="24"/>
              </w:rPr>
              <w:t>（</w:t>
            </w:r>
            <w:r>
              <w:rPr>
                <w:rFonts w:ascii="Times New Roman" w:hAnsi="Times New Roman" w:eastAsia="仿宋_GB2312"/>
                <w:sz w:val="24"/>
                <w:szCs w:val="24"/>
              </w:rPr>
              <w:t>tCO</w:t>
            </w:r>
            <w:r>
              <w:rPr>
                <w:rFonts w:ascii="Times New Roman" w:hAnsi="Times New Roman" w:eastAsia="仿宋_GB2312"/>
                <w:sz w:val="24"/>
                <w:szCs w:val="24"/>
                <w:vertAlign w:val="subscript"/>
              </w:rPr>
              <w:t>2</w:t>
            </w:r>
            <w:r>
              <w:rPr>
                <w:rFonts w:hint="eastAsia" w:ascii="Times New Roman" w:hAnsi="Times New Roman" w:eastAsia="仿宋_GB2312"/>
                <w:sz w:val="24"/>
                <w:szCs w:val="24"/>
              </w:rPr>
              <w:t>）</w:t>
            </w:r>
          </w:p>
        </w:tc>
        <w:tc>
          <w:tcPr>
            <w:tcW w:w="1181" w:type="dxa"/>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间接排放量（</w:t>
            </w:r>
            <w:r>
              <w:rPr>
                <w:rFonts w:ascii="Times New Roman" w:hAnsi="Times New Roman" w:eastAsia="仿宋_GB2312"/>
                <w:sz w:val="24"/>
                <w:szCs w:val="24"/>
              </w:rPr>
              <w:t>tCO</w:t>
            </w:r>
            <w:r>
              <w:rPr>
                <w:rFonts w:ascii="Times New Roman" w:hAnsi="Times New Roman" w:eastAsia="仿宋_GB2312"/>
                <w:sz w:val="24"/>
                <w:szCs w:val="24"/>
                <w:vertAlign w:val="subscript"/>
              </w:rPr>
              <w:t>2</w:t>
            </w:r>
            <w:r>
              <w:rPr>
                <w:rFonts w:hint="eastAsia" w:ascii="Times New Roman" w:hAnsi="Times New Roman" w:eastAsia="仿宋_GB2312"/>
                <w:sz w:val="24"/>
                <w:szCs w:val="24"/>
              </w:rPr>
              <w:t>）</w:t>
            </w:r>
          </w:p>
        </w:tc>
        <w:tc>
          <w:tcPr>
            <w:tcW w:w="1181" w:type="dxa"/>
            <w:vAlign w:val="center"/>
          </w:tcPr>
          <w:p>
            <w:pPr>
              <w:jc w:val="center"/>
              <w:rPr>
                <w:rFonts w:ascii="Times New Roman" w:hAnsi="Times New Roman" w:eastAsia="仿宋_GB2312"/>
                <w:sz w:val="24"/>
                <w:szCs w:val="24"/>
              </w:rPr>
            </w:pPr>
            <w:r>
              <w:rPr>
                <w:rFonts w:hint="eastAsia" w:ascii="Times New Roman" w:hAnsi="Times New Roman" w:eastAsia="仿宋_GB2312"/>
                <w:sz w:val="24"/>
                <w:szCs w:val="24"/>
              </w:rPr>
              <w:t>总排放量（</w:t>
            </w:r>
            <w:r>
              <w:rPr>
                <w:rFonts w:ascii="Times New Roman" w:hAnsi="Times New Roman" w:eastAsia="仿宋_GB2312"/>
                <w:sz w:val="24"/>
                <w:szCs w:val="24"/>
              </w:rPr>
              <w:t>tCO</w:t>
            </w:r>
            <w:r>
              <w:rPr>
                <w:rFonts w:ascii="Times New Roman" w:hAnsi="Times New Roman" w:eastAsia="仿宋_GB2312"/>
                <w:sz w:val="24"/>
                <w:szCs w:val="24"/>
                <w:vertAlign w:val="subscript"/>
              </w:rPr>
              <w:t>2</w:t>
            </w:r>
            <w:r>
              <w:rPr>
                <w:rFonts w:hint="eastAsia" w:ascii="Times New Roman" w:hAnsi="Times New Roman" w:eastAsia="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46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1</w:t>
            </w:r>
            <w:r>
              <w:rPr>
                <w:rFonts w:hint="eastAsia" w:ascii="Times New Roman" w:hAnsi="Times New Roman" w:eastAsia="仿宋_GB2312"/>
                <w:sz w:val="24"/>
                <w:szCs w:val="24"/>
                <w:vertAlign w:val="superscript"/>
              </w:rPr>
              <w:t>※</w:t>
            </w:r>
          </w:p>
        </w:tc>
        <w:tc>
          <w:tcPr>
            <w:tcW w:w="756" w:type="dxa"/>
            <w:vMerge w:val="restart"/>
            <w:vAlign w:val="center"/>
          </w:tcPr>
          <w:p>
            <w:pPr>
              <w:jc w:val="center"/>
              <w:rPr>
                <w:rFonts w:ascii="Times New Roman" w:hAnsi="Times New Roman" w:eastAsia="仿宋_GB2312"/>
                <w:sz w:val="24"/>
                <w:szCs w:val="24"/>
              </w:rPr>
            </w:pPr>
          </w:p>
        </w:tc>
        <w:tc>
          <w:tcPr>
            <w:tcW w:w="1206" w:type="dxa"/>
            <w:vMerge w:val="restart"/>
            <w:vAlign w:val="center"/>
          </w:tcPr>
          <w:p>
            <w:pPr>
              <w:jc w:val="center"/>
              <w:rPr>
                <w:rFonts w:ascii="Times New Roman" w:hAnsi="Times New Roman" w:eastAsia="仿宋_GB2312"/>
                <w:sz w:val="24"/>
                <w:szCs w:val="24"/>
              </w:rPr>
            </w:pPr>
          </w:p>
        </w:tc>
        <w:tc>
          <w:tcPr>
            <w:tcW w:w="576" w:type="dxa"/>
            <w:vMerge w:val="restart"/>
            <w:vAlign w:val="center"/>
          </w:tcPr>
          <w:p>
            <w:pPr>
              <w:jc w:val="center"/>
              <w:rPr>
                <w:rFonts w:ascii="Times New Roman" w:hAnsi="Times New Roman" w:eastAsia="仿宋_GB2312"/>
                <w:sz w:val="24"/>
                <w:szCs w:val="24"/>
              </w:rPr>
            </w:pPr>
          </w:p>
        </w:tc>
        <w:tc>
          <w:tcPr>
            <w:tcW w:w="922" w:type="dxa"/>
            <w:vMerge w:val="restart"/>
          </w:tcPr>
          <w:p>
            <w:pPr>
              <w:rPr>
                <w:rFonts w:ascii="Times New Roman" w:hAnsi="Times New Roman" w:eastAsia="仿宋_GB2312"/>
                <w:sz w:val="24"/>
                <w:szCs w:val="24"/>
              </w:rPr>
            </w:pPr>
          </w:p>
        </w:tc>
        <w:tc>
          <w:tcPr>
            <w:tcW w:w="1083" w:type="dxa"/>
            <w:tcBorders>
              <w:right w:val="single" w:color="auto" w:sz="4" w:space="0"/>
            </w:tcBorders>
          </w:tcPr>
          <w:p>
            <w:pPr>
              <w:rPr>
                <w:rFonts w:ascii="Times New Roman" w:hAnsi="Times New Roman" w:eastAsia="仿宋_GB2312"/>
                <w:sz w:val="24"/>
                <w:szCs w:val="24"/>
              </w:rPr>
            </w:pPr>
            <w:r>
              <w:rPr>
                <w:rFonts w:ascii="Times New Roman" w:hAnsi="Times New Roman" w:eastAsia="仿宋_GB2312"/>
                <w:sz w:val="24"/>
                <w:szCs w:val="24"/>
              </w:rPr>
              <w:t>2016</w:t>
            </w:r>
            <w:r>
              <w:rPr>
                <w:rFonts w:hint="eastAsia" w:ascii="Times New Roman" w:hAnsi="Times New Roman" w:eastAsia="仿宋_GB2312"/>
                <w:sz w:val="24"/>
                <w:szCs w:val="24"/>
              </w:rPr>
              <w:t>年</w:t>
            </w:r>
          </w:p>
        </w:tc>
        <w:tc>
          <w:tcPr>
            <w:tcW w:w="1181" w:type="dxa"/>
            <w:tcBorders>
              <w:left w:val="single" w:color="auto" w:sz="4" w:space="0"/>
            </w:tcBorders>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462" w:type="dxa"/>
            <w:vMerge w:val="continue"/>
          </w:tcPr>
          <w:p>
            <w:pPr>
              <w:rPr>
                <w:rFonts w:ascii="Times New Roman" w:hAnsi="Times New Roman" w:eastAsia="仿宋_GB2312"/>
                <w:sz w:val="24"/>
                <w:szCs w:val="24"/>
              </w:rPr>
            </w:pPr>
          </w:p>
        </w:tc>
        <w:tc>
          <w:tcPr>
            <w:tcW w:w="756" w:type="dxa"/>
            <w:vMerge w:val="continue"/>
          </w:tcPr>
          <w:p>
            <w:pPr>
              <w:rPr>
                <w:rFonts w:ascii="Times New Roman" w:hAnsi="Times New Roman" w:eastAsia="仿宋_GB2312"/>
                <w:sz w:val="24"/>
                <w:szCs w:val="24"/>
              </w:rPr>
            </w:pPr>
          </w:p>
        </w:tc>
        <w:tc>
          <w:tcPr>
            <w:tcW w:w="1206" w:type="dxa"/>
            <w:vMerge w:val="continue"/>
          </w:tcPr>
          <w:p>
            <w:pPr>
              <w:rPr>
                <w:rFonts w:ascii="Times New Roman" w:hAnsi="Times New Roman" w:eastAsia="仿宋_GB2312"/>
                <w:sz w:val="24"/>
                <w:szCs w:val="24"/>
              </w:rPr>
            </w:pPr>
          </w:p>
        </w:tc>
        <w:tc>
          <w:tcPr>
            <w:tcW w:w="576" w:type="dxa"/>
            <w:vMerge w:val="continue"/>
          </w:tcPr>
          <w:p>
            <w:pPr>
              <w:rPr>
                <w:rFonts w:ascii="Times New Roman" w:hAnsi="Times New Roman" w:eastAsia="仿宋_GB2312"/>
                <w:sz w:val="24"/>
                <w:szCs w:val="24"/>
              </w:rPr>
            </w:pPr>
          </w:p>
        </w:tc>
        <w:tc>
          <w:tcPr>
            <w:tcW w:w="922" w:type="dxa"/>
            <w:vMerge w:val="continue"/>
          </w:tcPr>
          <w:p>
            <w:pPr>
              <w:rPr>
                <w:rFonts w:ascii="Times New Roman" w:hAnsi="Times New Roman" w:eastAsia="仿宋_GB2312"/>
                <w:sz w:val="24"/>
                <w:szCs w:val="24"/>
              </w:rPr>
            </w:pPr>
          </w:p>
        </w:tc>
        <w:tc>
          <w:tcPr>
            <w:tcW w:w="1083" w:type="dxa"/>
            <w:tcBorders>
              <w:right w:val="single" w:color="auto" w:sz="4" w:space="0"/>
            </w:tcBorders>
          </w:tcPr>
          <w:p>
            <w:pPr>
              <w:rPr>
                <w:rFonts w:ascii="Times New Roman" w:hAnsi="Times New Roman" w:eastAsia="仿宋_GB2312"/>
                <w:sz w:val="24"/>
                <w:szCs w:val="24"/>
              </w:rPr>
            </w:pPr>
            <w:r>
              <w:rPr>
                <w:rFonts w:ascii="Times New Roman" w:hAnsi="Times New Roman" w:eastAsia="仿宋_GB2312"/>
                <w:sz w:val="24"/>
                <w:szCs w:val="24"/>
              </w:rPr>
              <w:t>2017</w:t>
            </w:r>
            <w:r>
              <w:rPr>
                <w:rFonts w:hint="eastAsia" w:ascii="Times New Roman" w:hAnsi="Times New Roman" w:eastAsia="仿宋_GB2312"/>
                <w:sz w:val="24"/>
                <w:szCs w:val="24"/>
              </w:rPr>
              <w:t>年</w:t>
            </w:r>
          </w:p>
        </w:tc>
        <w:tc>
          <w:tcPr>
            <w:tcW w:w="1181" w:type="dxa"/>
            <w:tcBorders>
              <w:left w:val="single" w:color="auto" w:sz="4" w:space="0"/>
            </w:tcBorders>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462" w:type="dxa"/>
            <w:vMerge w:val="continue"/>
          </w:tcPr>
          <w:p>
            <w:pPr>
              <w:rPr>
                <w:rFonts w:ascii="Times New Roman" w:hAnsi="Times New Roman" w:eastAsia="仿宋_GB2312"/>
                <w:sz w:val="24"/>
                <w:szCs w:val="24"/>
              </w:rPr>
            </w:pPr>
          </w:p>
        </w:tc>
        <w:tc>
          <w:tcPr>
            <w:tcW w:w="756" w:type="dxa"/>
            <w:vMerge w:val="continue"/>
          </w:tcPr>
          <w:p>
            <w:pPr>
              <w:rPr>
                <w:rFonts w:ascii="Times New Roman" w:hAnsi="Times New Roman" w:eastAsia="仿宋_GB2312"/>
                <w:sz w:val="24"/>
                <w:szCs w:val="24"/>
              </w:rPr>
            </w:pPr>
          </w:p>
        </w:tc>
        <w:tc>
          <w:tcPr>
            <w:tcW w:w="1206" w:type="dxa"/>
            <w:vMerge w:val="continue"/>
          </w:tcPr>
          <w:p>
            <w:pPr>
              <w:rPr>
                <w:rFonts w:ascii="Times New Roman" w:hAnsi="Times New Roman" w:eastAsia="仿宋_GB2312"/>
                <w:sz w:val="24"/>
                <w:szCs w:val="24"/>
              </w:rPr>
            </w:pPr>
          </w:p>
        </w:tc>
        <w:tc>
          <w:tcPr>
            <w:tcW w:w="576" w:type="dxa"/>
            <w:vMerge w:val="continue"/>
          </w:tcPr>
          <w:p>
            <w:pPr>
              <w:rPr>
                <w:rFonts w:ascii="Times New Roman" w:hAnsi="Times New Roman" w:eastAsia="仿宋_GB2312"/>
                <w:sz w:val="24"/>
                <w:szCs w:val="24"/>
              </w:rPr>
            </w:pPr>
          </w:p>
        </w:tc>
        <w:tc>
          <w:tcPr>
            <w:tcW w:w="922" w:type="dxa"/>
            <w:vMerge w:val="continue"/>
          </w:tcPr>
          <w:p>
            <w:pPr>
              <w:rPr>
                <w:rFonts w:ascii="Times New Roman" w:hAnsi="Times New Roman" w:eastAsia="仿宋_GB2312"/>
                <w:sz w:val="24"/>
                <w:szCs w:val="24"/>
              </w:rPr>
            </w:pPr>
          </w:p>
        </w:tc>
        <w:tc>
          <w:tcPr>
            <w:tcW w:w="1083" w:type="dxa"/>
            <w:tcBorders>
              <w:right w:val="single" w:color="auto" w:sz="4" w:space="0"/>
            </w:tcBorders>
          </w:tcPr>
          <w:p>
            <w:pPr>
              <w:rPr>
                <w:rFonts w:ascii="Times New Roman" w:hAnsi="Times New Roman" w:eastAsia="仿宋_GB2312"/>
                <w:sz w:val="24"/>
                <w:szCs w:val="24"/>
              </w:rPr>
            </w:pPr>
            <w:r>
              <w:rPr>
                <w:rFonts w:ascii="Times New Roman" w:hAnsi="Times New Roman" w:eastAsia="仿宋_GB2312"/>
                <w:sz w:val="24"/>
                <w:szCs w:val="24"/>
              </w:rPr>
              <w:t>2018</w:t>
            </w:r>
            <w:r>
              <w:rPr>
                <w:rFonts w:hint="eastAsia" w:ascii="Times New Roman" w:hAnsi="Times New Roman" w:eastAsia="仿宋_GB2312"/>
                <w:sz w:val="24"/>
                <w:szCs w:val="24"/>
              </w:rPr>
              <w:t>年</w:t>
            </w:r>
          </w:p>
        </w:tc>
        <w:tc>
          <w:tcPr>
            <w:tcW w:w="1181" w:type="dxa"/>
            <w:tcBorders>
              <w:left w:val="single" w:color="auto" w:sz="4" w:space="0"/>
            </w:tcBorders>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46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w:t>
            </w:r>
          </w:p>
        </w:tc>
        <w:tc>
          <w:tcPr>
            <w:tcW w:w="756" w:type="dxa"/>
            <w:vMerge w:val="restart"/>
            <w:vAlign w:val="center"/>
          </w:tcPr>
          <w:p>
            <w:pPr>
              <w:jc w:val="center"/>
              <w:rPr>
                <w:rFonts w:ascii="Times New Roman" w:hAnsi="Times New Roman" w:eastAsia="仿宋_GB2312"/>
                <w:sz w:val="24"/>
                <w:szCs w:val="24"/>
              </w:rPr>
            </w:pPr>
          </w:p>
        </w:tc>
        <w:tc>
          <w:tcPr>
            <w:tcW w:w="1206" w:type="dxa"/>
            <w:vMerge w:val="restart"/>
            <w:vAlign w:val="center"/>
          </w:tcPr>
          <w:p>
            <w:pPr>
              <w:jc w:val="center"/>
              <w:rPr>
                <w:rFonts w:ascii="Times New Roman" w:hAnsi="Times New Roman" w:eastAsia="仿宋_GB2312"/>
                <w:sz w:val="24"/>
                <w:szCs w:val="24"/>
              </w:rPr>
            </w:pPr>
          </w:p>
        </w:tc>
        <w:tc>
          <w:tcPr>
            <w:tcW w:w="576" w:type="dxa"/>
            <w:vMerge w:val="restart"/>
            <w:vAlign w:val="center"/>
          </w:tcPr>
          <w:p>
            <w:pPr>
              <w:jc w:val="center"/>
              <w:rPr>
                <w:rFonts w:ascii="Times New Roman" w:hAnsi="Times New Roman" w:eastAsia="仿宋_GB2312"/>
                <w:sz w:val="24"/>
                <w:szCs w:val="24"/>
              </w:rPr>
            </w:pPr>
          </w:p>
        </w:tc>
        <w:tc>
          <w:tcPr>
            <w:tcW w:w="922" w:type="dxa"/>
            <w:vMerge w:val="restart"/>
          </w:tcPr>
          <w:p>
            <w:pPr>
              <w:rPr>
                <w:rFonts w:ascii="Times New Roman" w:hAnsi="Times New Roman" w:eastAsia="仿宋_GB2312"/>
                <w:sz w:val="24"/>
                <w:szCs w:val="24"/>
              </w:rPr>
            </w:pPr>
          </w:p>
        </w:tc>
        <w:tc>
          <w:tcPr>
            <w:tcW w:w="1083" w:type="dxa"/>
            <w:tcBorders>
              <w:right w:val="single" w:color="auto" w:sz="4" w:space="0"/>
            </w:tcBorders>
          </w:tcPr>
          <w:p>
            <w:pPr>
              <w:rPr>
                <w:rFonts w:ascii="Times New Roman" w:hAnsi="Times New Roman" w:eastAsia="仿宋_GB2312"/>
                <w:sz w:val="24"/>
                <w:szCs w:val="24"/>
              </w:rPr>
            </w:pPr>
            <w:r>
              <w:rPr>
                <w:rFonts w:ascii="Times New Roman" w:hAnsi="Times New Roman" w:eastAsia="仿宋_GB2312"/>
                <w:sz w:val="24"/>
                <w:szCs w:val="24"/>
              </w:rPr>
              <w:t>2016</w:t>
            </w:r>
            <w:r>
              <w:rPr>
                <w:rFonts w:hint="eastAsia" w:ascii="Times New Roman" w:hAnsi="Times New Roman" w:eastAsia="仿宋_GB2312"/>
                <w:sz w:val="24"/>
                <w:szCs w:val="24"/>
              </w:rPr>
              <w:t>年</w:t>
            </w:r>
          </w:p>
        </w:tc>
        <w:tc>
          <w:tcPr>
            <w:tcW w:w="1181" w:type="dxa"/>
            <w:tcBorders>
              <w:left w:val="single" w:color="auto" w:sz="4" w:space="0"/>
            </w:tcBorders>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462" w:type="dxa"/>
            <w:vMerge w:val="continue"/>
          </w:tcPr>
          <w:p>
            <w:pPr>
              <w:rPr>
                <w:rFonts w:ascii="Times New Roman" w:hAnsi="Times New Roman" w:eastAsia="仿宋_GB2312"/>
                <w:sz w:val="24"/>
                <w:szCs w:val="24"/>
              </w:rPr>
            </w:pPr>
          </w:p>
        </w:tc>
        <w:tc>
          <w:tcPr>
            <w:tcW w:w="756" w:type="dxa"/>
            <w:vMerge w:val="continue"/>
          </w:tcPr>
          <w:p>
            <w:pPr>
              <w:rPr>
                <w:rFonts w:ascii="Times New Roman" w:hAnsi="Times New Roman" w:eastAsia="仿宋_GB2312"/>
                <w:sz w:val="24"/>
                <w:szCs w:val="24"/>
              </w:rPr>
            </w:pPr>
          </w:p>
        </w:tc>
        <w:tc>
          <w:tcPr>
            <w:tcW w:w="1206" w:type="dxa"/>
            <w:vMerge w:val="continue"/>
          </w:tcPr>
          <w:p>
            <w:pPr>
              <w:rPr>
                <w:rFonts w:ascii="Times New Roman" w:hAnsi="Times New Roman" w:eastAsia="仿宋_GB2312"/>
                <w:sz w:val="24"/>
                <w:szCs w:val="24"/>
              </w:rPr>
            </w:pPr>
          </w:p>
        </w:tc>
        <w:tc>
          <w:tcPr>
            <w:tcW w:w="576" w:type="dxa"/>
            <w:vMerge w:val="continue"/>
          </w:tcPr>
          <w:p>
            <w:pPr>
              <w:rPr>
                <w:rFonts w:ascii="Times New Roman" w:hAnsi="Times New Roman" w:eastAsia="仿宋_GB2312"/>
                <w:sz w:val="24"/>
                <w:szCs w:val="24"/>
              </w:rPr>
            </w:pPr>
          </w:p>
        </w:tc>
        <w:tc>
          <w:tcPr>
            <w:tcW w:w="922" w:type="dxa"/>
            <w:vMerge w:val="continue"/>
          </w:tcPr>
          <w:p>
            <w:pPr>
              <w:rPr>
                <w:rFonts w:ascii="Times New Roman" w:hAnsi="Times New Roman" w:eastAsia="仿宋_GB2312"/>
                <w:sz w:val="24"/>
                <w:szCs w:val="24"/>
              </w:rPr>
            </w:pPr>
          </w:p>
        </w:tc>
        <w:tc>
          <w:tcPr>
            <w:tcW w:w="1083" w:type="dxa"/>
            <w:tcBorders>
              <w:right w:val="single" w:color="auto" w:sz="4" w:space="0"/>
            </w:tcBorders>
          </w:tcPr>
          <w:p>
            <w:pPr>
              <w:rPr>
                <w:rFonts w:ascii="Times New Roman" w:hAnsi="Times New Roman" w:eastAsia="仿宋_GB2312"/>
                <w:sz w:val="24"/>
                <w:szCs w:val="24"/>
              </w:rPr>
            </w:pPr>
            <w:r>
              <w:rPr>
                <w:rFonts w:ascii="Times New Roman" w:hAnsi="Times New Roman" w:eastAsia="仿宋_GB2312"/>
                <w:sz w:val="24"/>
                <w:szCs w:val="24"/>
              </w:rPr>
              <w:t>2017</w:t>
            </w:r>
            <w:r>
              <w:rPr>
                <w:rFonts w:hint="eastAsia" w:ascii="Times New Roman" w:hAnsi="Times New Roman" w:eastAsia="仿宋_GB2312"/>
                <w:sz w:val="24"/>
                <w:szCs w:val="24"/>
              </w:rPr>
              <w:t>年</w:t>
            </w:r>
          </w:p>
        </w:tc>
        <w:tc>
          <w:tcPr>
            <w:tcW w:w="1181" w:type="dxa"/>
            <w:tcBorders>
              <w:left w:val="single" w:color="auto" w:sz="4" w:space="0"/>
            </w:tcBorders>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462" w:type="dxa"/>
            <w:vMerge w:val="continue"/>
          </w:tcPr>
          <w:p>
            <w:pPr>
              <w:rPr>
                <w:rFonts w:ascii="Times New Roman" w:hAnsi="Times New Roman" w:eastAsia="仿宋_GB2312"/>
                <w:sz w:val="24"/>
                <w:szCs w:val="24"/>
              </w:rPr>
            </w:pPr>
          </w:p>
        </w:tc>
        <w:tc>
          <w:tcPr>
            <w:tcW w:w="756" w:type="dxa"/>
            <w:vMerge w:val="continue"/>
          </w:tcPr>
          <w:p>
            <w:pPr>
              <w:rPr>
                <w:rFonts w:ascii="Times New Roman" w:hAnsi="Times New Roman" w:eastAsia="仿宋_GB2312"/>
                <w:sz w:val="24"/>
                <w:szCs w:val="24"/>
              </w:rPr>
            </w:pPr>
          </w:p>
        </w:tc>
        <w:tc>
          <w:tcPr>
            <w:tcW w:w="1206" w:type="dxa"/>
            <w:vMerge w:val="continue"/>
          </w:tcPr>
          <w:p>
            <w:pPr>
              <w:rPr>
                <w:rFonts w:ascii="Times New Roman" w:hAnsi="Times New Roman" w:eastAsia="仿宋_GB2312"/>
                <w:sz w:val="24"/>
                <w:szCs w:val="24"/>
              </w:rPr>
            </w:pPr>
          </w:p>
        </w:tc>
        <w:tc>
          <w:tcPr>
            <w:tcW w:w="576" w:type="dxa"/>
            <w:vMerge w:val="continue"/>
          </w:tcPr>
          <w:p>
            <w:pPr>
              <w:rPr>
                <w:rFonts w:ascii="Times New Roman" w:hAnsi="Times New Roman" w:eastAsia="仿宋_GB2312"/>
                <w:sz w:val="24"/>
                <w:szCs w:val="24"/>
              </w:rPr>
            </w:pPr>
          </w:p>
        </w:tc>
        <w:tc>
          <w:tcPr>
            <w:tcW w:w="922" w:type="dxa"/>
            <w:vMerge w:val="continue"/>
          </w:tcPr>
          <w:p>
            <w:pPr>
              <w:rPr>
                <w:rFonts w:ascii="Times New Roman" w:hAnsi="Times New Roman" w:eastAsia="仿宋_GB2312"/>
                <w:sz w:val="24"/>
                <w:szCs w:val="24"/>
              </w:rPr>
            </w:pPr>
          </w:p>
        </w:tc>
        <w:tc>
          <w:tcPr>
            <w:tcW w:w="1083" w:type="dxa"/>
            <w:tcBorders>
              <w:right w:val="single" w:color="auto" w:sz="4" w:space="0"/>
            </w:tcBorders>
          </w:tcPr>
          <w:p>
            <w:pPr>
              <w:rPr>
                <w:rFonts w:ascii="Times New Roman" w:hAnsi="Times New Roman" w:eastAsia="仿宋_GB2312"/>
                <w:sz w:val="24"/>
                <w:szCs w:val="24"/>
              </w:rPr>
            </w:pPr>
            <w:r>
              <w:rPr>
                <w:rFonts w:ascii="Times New Roman" w:hAnsi="Times New Roman" w:eastAsia="仿宋_GB2312"/>
                <w:sz w:val="24"/>
                <w:szCs w:val="24"/>
              </w:rPr>
              <w:t>2018</w:t>
            </w:r>
            <w:r>
              <w:rPr>
                <w:rFonts w:hint="eastAsia" w:ascii="Times New Roman" w:hAnsi="Times New Roman" w:eastAsia="仿宋_GB2312"/>
                <w:sz w:val="24"/>
                <w:szCs w:val="24"/>
              </w:rPr>
              <w:t>年</w:t>
            </w:r>
          </w:p>
        </w:tc>
        <w:tc>
          <w:tcPr>
            <w:tcW w:w="1181" w:type="dxa"/>
            <w:tcBorders>
              <w:left w:val="single" w:color="auto" w:sz="4" w:space="0"/>
            </w:tcBorders>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c>
          <w:tcPr>
            <w:tcW w:w="1181" w:type="dxa"/>
          </w:tcPr>
          <w:p>
            <w:pPr>
              <w:rPr>
                <w:rFonts w:ascii="Times New Roman" w:hAnsi="Times New Roman" w:eastAsia="仿宋_GB2312"/>
                <w:sz w:val="24"/>
                <w:szCs w:val="24"/>
              </w:rPr>
            </w:pPr>
          </w:p>
        </w:tc>
      </w:tr>
    </w:tbl>
    <w:p>
      <w:pPr>
        <w:rPr>
          <w:rFonts w:ascii="Times New Roman" w:hAnsi="Times New Roman"/>
        </w:rPr>
      </w:pPr>
      <w:r>
        <w:rPr>
          <w:rFonts w:ascii="Times New Roman" w:hAnsi="Times New Roman"/>
          <w:vertAlign w:val="superscript"/>
        </w:rPr>
        <w:t>※</w:t>
      </w:r>
      <w:r>
        <w:rPr>
          <w:rFonts w:ascii="Times New Roman" w:hAnsi="Times New Roman"/>
        </w:rPr>
        <w:t>注1：若有多个既有设施退出，请自行添加。</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排放单位新增设施（或新增服务范围）主要包括xxx。其中，xx替代了既有设施xx，新增设施及其排放量如下：</w:t>
      </w:r>
    </w:p>
    <w:p>
      <w:pPr>
        <w:spacing w:after="0" w:line="560" w:lineRule="exact"/>
        <w:jc w:val="center"/>
        <w:rPr>
          <w:rFonts w:ascii="Times New Roman" w:hAnsi="Times New Roman" w:eastAsia="仿宋_GB2312"/>
          <w:color w:val="000000" w:themeColor="text1"/>
          <w:sz w:val="24"/>
        </w:rPr>
      </w:pPr>
      <w:r>
        <w:rPr>
          <w:rFonts w:hint="eastAsia" w:ascii="Times New Roman" w:hAnsi="Times New Roman" w:eastAsia="仿宋_GB2312"/>
          <w:color w:val="000000" w:themeColor="text1"/>
          <w:sz w:val="24"/>
        </w:rPr>
        <w:t>表</w:t>
      </w:r>
      <w:r>
        <w:rPr>
          <w:rFonts w:ascii="Times New Roman" w:hAnsi="Times New Roman" w:eastAsia="仿宋_GB2312"/>
          <w:color w:val="000000" w:themeColor="text1"/>
          <w:sz w:val="24"/>
        </w:rPr>
        <w:t xml:space="preserve">XX  </w:t>
      </w:r>
      <w:r>
        <w:rPr>
          <w:rFonts w:hint="eastAsia" w:ascii="Times New Roman" w:hAnsi="Times New Roman" w:eastAsia="仿宋_GB2312"/>
          <w:color w:val="000000" w:themeColor="text1"/>
          <w:sz w:val="24"/>
        </w:rPr>
        <w:t>新增设施信息表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293"/>
        <w:gridCol w:w="1772"/>
        <w:gridCol w:w="1661"/>
        <w:gridCol w:w="1661"/>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4" w:type="pct"/>
            <w:vAlign w:val="center"/>
          </w:tcPr>
          <w:p>
            <w:pPr>
              <w:tabs>
                <w:tab w:val="left" w:pos="1701"/>
              </w:tabs>
              <w:spacing w:after="0" w:line="240" w:lineRule="auto"/>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序号</w:t>
            </w:r>
          </w:p>
        </w:tc>
        <w:tc>
          <w:tcPr>
            <w:tcW w:w="714" w:type="pct"/>
            <w:vAlign w:val="center"/>
          </w:tcPr>
          <w:p>
            <w:pPr>
              <w:tabs>
                <w:tab w:val="left" w:pos="1701"/>
              </w:tabs>
              <w:spacing w:after="0" w:line="240" w:lineRule="auto"/>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设施新增年份</w:t>
            </w:r>
          </w:p>
        </w:tc>
        <w:tc>
          <w:tcPr>
            <w:tcW w:w="978" w:type="pct"/>
            <w:vAlign w:val="center"/>
          </w:tcPr>
          <w:p>
            <w:pPr>
              <w:tabs>
                <w:tab w:val="left" w:pos="1701"/>
              </w:tabs>
              <w:spacing w:after="0" w:line="240" w:lineRule="auto"/>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新增设施类型</w:t>
            </w:r>
          </w:p>
        </w:tc>
        <w:tc>
          <w:tcPr>
            <w:tcW w:w="917" w:type="pct"/>
            <w:vAlign w:val="center"/>
          </w:tcPr>
          <w:p>
            <w:pPr>
              <w:tabs>
                <w:tab w:val="left" w:pos="1701"/>
              </w:tabs>
              <w:spacing w:after="0" w:line="240" w:lineRule="auto"/>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是否替代既有设施，被替代既有设施类型</w:t>
            </w:r>
          </w:p>
        </w:tc>
        <w:tc>
          <w:tcPr>
            <w:tcW w:w="917" w:type="pct"/>
            <w:vAlign w:val="center"/>
          </w:tcPr>
          <w:p>
            <w:pPr>
              <w:tabs>
                <w:tab w:val="left" w:pos="1701"/>
              </w:tabs>
              <w:spacing w:after="0" w:line="240" w:lineRule="auto"/>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新增设施排放量（吨）</w:t>
            </w:r>
          </w:p>
        </w:tc>
        <w:tc>
          <w:tcPr>
            <w:tcW w:w="917" w:type="pct"/>
            <w:vAlign w:val="center"/>
          </w:tcPr>
          <w:p>
            <w:pPr>
              <w:tabs>
                <w:tab w:val="left" w:pos="1701"/>
              </w:tabs>
              <w:spacing w:after="0" w:line="240" w:lineRule="auto"/>
              <w:jc w:val="center"/>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替代既有设施的新增排放量</w:t>
            </w:r>
            <w:r>
              <w:rPr>
                <w:rFonts w:ascii="Times New Roman" w:hAnsi="Times New Roman" w:eastAsia="仿宋_GB2312"/>
                <w:color w:val="000000"/>
                <w:sz w:val="24"/>
                <w:szCs w:val="24"/>
              </w:rPr>
              <w:t>(</w:t>
            </w:r>
            <w:r>
              <w:rPr>
                <w:rFonts w:hint="eastAsia" w:ascii="Times New Roman" w:hAnsi="Times New Roman" w:eastAsia="仿宋_GB2312"/>
                <w:color w:val="000000"/>
                <w:sz w:val="24"/>
                <w:szCs w:val="24"/>
              </w:rPr>
              <w:t>吨</w:t>
            </w:r>
            <w:r>
              <w:rPr>
                <w:rFonts w:ascii="Times New Roman" w:hAnsi="Times New Roman" w:eastAsia="仿宋_GB2312"/>
                <w:color w:val="00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pct"/>
          </w:tcPr>
          <w:p>
            <w:pPr>
              <w:spacing w:after="0" w:line="240" w:lineRule="auto"/>
              <w:jc w:val="center"/>
              <w:rPr>
                <w:rFonts w:ascii="Times New Roman" w:hAnsi="Times New Roman" w:eastAsia="仿宋"/>
                <w:sz w:val="24"/>
                <w:szCs w:val="24"/>
              </w:rPr>
            </w:pPr>
            <w:r>
              <w:rPr>
                <w:rFonts w:ascii="Times New Roman" w:hAnsi="Times New Roman" w:eastAsia="仿宋_GB2312"/>
                <w:color w:val="000000"/>
                <w:sz w:val="24"/>
                <w:szCs w:val="24"/>
              </w:rPr>
              <w:t>1</w:t>
            </w:r>
          </w:p>
        </w:tc>
        <w:tc>
          <w:tcPr>
            <w:tcW w:w="714" w:type="pct"/>
          </w:tcPr>
          <w:p>
            <w:pPr>
              <w:spacing w:after="0" w:line="240" w:lineRule="auto"/>
              <w:rPr>
                <w:rFonts w:ascii="Times New Roman" w:hAnsi="Times New Roman" w:eastAsia="仿宋"/>
                <w:sz w:val="24"/>
                <w:szCs w:val="24"/>
              </w:rPr>
            </w:pPr>
          </w:p>
        </w:tc>
        <w:tc>
          <w:tcPr>
            <w:tcW w:w="978" w:type="pct"/>
          </w:tcPr>
          <w:p>
            <w:pPr>
              <w:spacing w:after="0" w:line="240" w:lineRule="auto"/>
              <w:rPr>
                <w:rFonts w:ascii="Times New Roman" w:hAnsi="Times New Roman" w:eastAsia="仿宋"/>
                <w:sz w:val="24"/>
                <w:szCs w:val="24"/>
              </w:rPr>
            </w:pPr>
          </w:p>
        </w:tc>
        <w:tc>
          <w:tcPr>
            <w:tcW w:w="917" w:type="pct"/>
          </w:tcPr>
          <w:p>
            <w:pPr>
              <w:spacing w:after="0" w:line="240" w:lineRule="auto"/>
              <w:rPr>
                <w:rFonts w:ascii="Times New Roman" w:hAnsi="Times New Roman" w:eastAsia="仿宋"/>
                <w:sz w:val="24"/>
                <w:szCs w:val="24"/>
              </w:rPr>
            </w:pPr>
          </w:p>
        </w:tc>
        <w:tc>
          <w:tcPr>
            <w:tcW w:w="917" w:type="pct"/>
          </w:tcPr>
          <w:p>
            <w:pPr>
              <w:spacing w:after="0" w:line="240" w:lineRule="auto"/>
              <w:rPr>
                <w:rFonts w:ascii="Times New Roman" w:hAnsi="Times New Roman" w:eastAsia="仿宋"/>
                <w:sz w:val="24"/>
                <w:szCs w:val="24"/>
              </w:rPr>
            </w:pPr>
          </w:p>
        </w:tc>
        <w:tc>
          <w:tcPr>
            <w:tcW w:w="917" w:type="pct"/>
          </w:tcPr>
          <w:p>
            <w:pPr>
              <w:spacing w:after="0" w:line="240" w:lineRule="auto"/>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pct"/>
          </w:tcPr>
          <w:p>
            <w:pPr>
              <w:spacing w:after="0" w:line="240" w:lineRule="auto"/>
              <w:jc w:val="center"/>
              <w:rPr>
                <w:rFonts w:ascii="Times New Roman" w:hAnsi="Times New Roman" w:eastAsia="仿宋"/>
                <w:sz w:val="24"/>
                <w:szCs w:val="24"/>
              </w:rPr>
            </w:pPr>
            <w:r>
              <w:rPr>
                <w:rFonts w:hint="eastAsia" w:ascii="Times New Roman" w:hAnsi="Times New Roman" w:eastAsia="仿宋_GB2312"/>
                <w:color w:val="000000"/>
                <w:sz w:val="24"/>
                <w:szCs w:val="24"/>
              </w:rPr>
              <w:t>合计</w:t>
            </w:r>
          </w:p>
        </w:tc>
        <w:tc>
          <w:tcPr>
            <w:tcW w:w="714" w:type="pct"/>
          </w:tcPr>
          <w:p>
            <w:pPr>
              <w:spacing w:after="0" w:line="240" w:lineRule="auto"/>
              <w:rPr>
                <w:rFonts w:ascii="Times New Roman" w:hAnsi="Times New Roman" w:eastAsia="仿宋"/>
                <w:sz w:val="24"/>
                <w:szCs w:val="24"/>
              </w:rPr>
            </w:pPr>
          </w:p>
        </w:tc>
        <w:tc>
          <w:tcPr>
            <w:tcW w:w="978" w:type="pct"/>
          </w:tcPr>
          <w:p>
            <w:pPr>
              <w:spacing w:after="0" w:line="240" w:lineRule="auto"/>
              <w:rPr>
                <w:rFonts w:ascii="Times New Roman" w:hAnsi="Times New Roman" w:eastAsia="仿宋"/>
                <w:sz w:val="24"/>
                <w:szCs w:val="24"/>
              </w:rPr>
            </w:pPr>
          </w:p>
        </w:tc>
        <w:tc>
          <w:tcPr>
            <w:tcW w:w="917" w:type="pct"/>
          </w:tcPr>
          <w:p>
            <w:pPr>
              <w:spacing w:after="0" w:line="240" w:lineRule="auto"/>
              <w:rPr>
                <w:rFonts w:ascii="Times New Roman" w:hAnsi="Times New Roman" w:eastAsia="仿宋"/>
                <w:sz w:val="24"/>
                <w:szCs w:val="24"/>
              </w:rPr>
            </w:pPr>
          </w:p>
        </w:tc>
        <w:tc>
          <w:tcPr>
            <w:tcW w:w="917" w:type="pct"/>
          </w:tcPr>
          <w:p>
            <w:pPr>
              <w:spacing w:after="0" w:line="240" w:lineRule="auto"/>
              <w:rPr>
                <w:rFonts w:ascii="Times New Roman" w:hAnsi="Times New Roman" w:eastAsia="仿宋"/>
                <w:sz w:val="24"/>
                <w:szCs w:val="24"/>
              </w:rPr>
            </w:pPr>
          </w:p>
        </w:tc>
        <w:tc>
          <w:tcPr>
            <w:tcW w:w="917" w:type="pct"/>
          </w:tcPr>
          <w:p>
            <w:pPr>
              <w:spacing w:after="0" w:line="240" w:lineRule="auto"/>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spacing w:after="0" w:line="240" w:lineRule="auto"/>
              <w:rPr>
                <w:rFonts w:ascii="Times New Roman" w:hAnsi="Times New Roman" w:eastAsia="仿宋"/>
                <w:sz w:val="24"/>
                <w:szCs w:val="24"/>
              </w:rPr>
            </w:pPr>
            <w:r>
              <w:rPr>
                <w:rFonts w:hint="eastAsia" w:ascii="Times New Roman" w:hAnsi="Times New Roman" w:eastAsia="仿宋"/>
                <w:sz w:val="24"/>
                <w:szCs w:val="24"/>
              </w:rPr>
              <w:t>备注：</w:t>
            </w:r>
          </w:p>
        </w:tc>
      </w:tr>
    </w:tbl>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新增设施排放量为xxxx.xx吨，是基准年份排放量的xx.xx%，新增设施对应的活动水平为xxx（例如新增建筑面积xxx平方米），此信息供新增设施配额发放参考。</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5.核查过程未覆盖的问题描述</w:t>
      </w:r>
    </w:p>
    <w:p>
      <w:pPr>
        <w:spacing w:after="0" w:line="560" w:lineRule="exact"/>
        <w:ind w:firstLine="640" w:firstLineChars="200"/>
        <w:rPr>
          <w:rFonts w:ascii="Times New Roman" w:hAnsi="Times New Roman"/>
        </w:rPr>
      </w:pPr>
      <w:r>
        <w:rPr>
          <w:rFonts w:ascii="Times New Roman" w:hAnsi="Times New Roman" w:eastAsia="仿宋_GB2312"/>
          <w:sz w:val="32"/>
          <w:szCs w:val="32"/>
        </w:rPr>
        <w:t>本次核查中，由于xx原因，xxxx方面未覆盖。</w:t>
      </w:r>
      <w:r>
        <w:rPr>
          <w:rFonts w:ascii="Times New Roman" w:hAnsi="Times New Roman"/>
        </w:rPr>
        <w:br w:type="page"/>
      </w:r>
    </w:p>
    <w:p>
      <w:pPr>
        <w:pStyle w:val="4"/>
        <w:rPr>
          <w:rFonts w:asciiTheme="majorEastAsia" w:hAnsiTheme="majorEastAsia" w:eastAsiaTheme="majorEastAsia"/>
          <w:sz w:val="32"/>
          <w:szCs w:val="32"/>
        </w:rPr>
      </w:pPr>
      <w:r>
        <w:rPr>
          <w:rFonts w:hint="eastAsia" w:asciiTheme="majorEastAsia" w:hAnsiTheme="majorEastAsia" w:eastAsiaTheme="majorEastAsia"/>
          <w:sz w:val="32"/>
          <w:szCs w:val="32"/>
        </w:rPr>
        <w:t>热力生产和供应企业</w:t>
      </w:r>
    </w:p>
    <w:p>
      <w:pPr>
        <w:spacing w:after="0" w:line="560" w:lineRule="exact"/>
        <w:rPr>
          <w:rFonts w:ascii="Times New Roman" w:hAnsi="Times New Roman" w:eastAsia="仿宋"/>
          <w:sz w:val="32"/>
          <w:szCs w:val="32"/>
        </w:rPr>
      </w:pPr>
      <w:r>
        <w:rPr>
          <w:rFonts w:ascii="Times New Roman" w:hAnsi="Times New Roman" w:eastAsia="仿宋"/>
          <w:sz w:val="32"/>
          <w:szCs w:val="32"/>
        </w:rPr>
        <w:t>核查结论</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xxxx公司（以下简称排放单位）委托xxx公司开展XXXX年二氧化碳排放的核查工作。核查范围包括排放单位所有在北京市辖区内固定设施导致的二氧化碳直接排放和二氧化碳间接排放。</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通过文件评审、现场访问、核查报告编写及内部技术复核，核查组对排放单位XXXX年度二氧化碳排放报告形成如下核查结论：</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1. 核算、报告与方法学的符合性</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核查组确认所有不符合已全部关闭，排放单位的核算与报告均符合方法学</w:t>
      </w:r>
      <w:r>
        <w:rPr>
          <w:rFonts w:hint="eastAsia" w:ascii="Times New Roman" w:hAnsi="Times New Roman" w:eastAsia="仿宋"/>
          <w:sz w:val="32"/>
          <w:szCs w:val="32"/>
        </w:rPr>
        <w:t>《二氧化碳排放核算和报告要求热力生产和供应业》（DB11/T 1784-2020）</w:t>
      </w:r>
      <w:r>
        <w:rPr>
          <w:rFonts w:ascii="Times New Roman" w:hAnsi="Times New Roman" w:eastAsia="仿宋"/>
          <w:sz w:val="32"/>
          <w:szCs w:val="32"/>
        </w:rPr>
        <w:t>的要求，核查组对本排放报告出具肯定的核查结论。</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2. 本年度排放量及活动水平数据的声明</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经核查的直接和间接排放量与最终排放报告中数据一致。经核查的直接排放量为310424.18</w:t>
      </w:r>
      <w:r>
        <w:rPr>
          <w:rFonts w:ascii="Times New Roman" w:hAnsi="Times New Roman" w:eastAsia="仿宋"/>
          <w:color w:val="000000"/>
          <w:sz w:val="32"/>
          <w:szCs w:val="32"/>
        </w:rPr>
        <w:t>吨，间接排放量为36779.13吨，总排放量为347203.31吨</w:t>
      </w:r>
      <w:r>
        <w:rPr>
          <w:rFonts w:ascii="Times New Roman" w:hAnsi="Times New Roman" w:eastAsia="仿宋"/>
          <w:sz w:val="32"/>
          <w:szCs w:val="32"/>
        </w:rPr>
        <w:t>。</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经核查的供热量与最终排放报告中数据一致。其中燃气锅炉直供的建筑物供热量为xxxxTJ，燃气锅炉间供的热力站一次侧输入热源产生热量为xxxxTJ，燃煤锅炉直供的建筑供热量为xxxxTJ，燃煤锅炉间供的热力站一次侧输入热源产生热量为xxxxTJ，电锅炉所供的建筑供热量为xxxxTJ，燃油锅炉所供的建筑供热量为xxxxTJ，地源热泵所供的建筑供热量为xxxxTJ，其他供热方式所供的建筑物供热量为xxxxTJ；热力站一次侧输入热量为xxxTJ。</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3. 年度</w:t>
      </w:r>
      <w:r>
        <w:rPr>
          <w:rFonts w:hint="eastAsia" w:ascii="Times New Roman" w:hAnsi="Times New Roman" w:eastAsia="仿宋"/>
          <w:sz w:val="32"/>
          <w:szCs w:val="32"/>
        </w:rPr>
        <w:t>排放量及活动水平</w:t>
      </w:r>
      <w:r>
        <w:rPr>
          <w:rFonts w:ascii="Times New Roman" w:hAnsi="Times New Roman" w:eastAsia="仿宋"/>
          <w:sz w:val="32"/>
          <w:szCs w:val="32"/>
        </w:rPr>
        <w:t>波动的原因说明</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本年度排放量与上年度排放量相比增加</w:t>
      </w:r>
      <w:r>
        <w:rPr>
          <w:rFonts w:ascii="Times New Roman" w:hAnsi="Times New Roman" w:eastAsia="仿宋"/>
          <w:color w:val="000000"/>
          <w:sz w:val="32"/>
          <w:szCs w:val="32"/>
        </w:rPr>
        <w:t>71782.51吨/26.06%</w:t>
      </w:r>
      <w:r>
        <w:rPr>
          <w:rFonts w:ascii="Times New Roman" w:hAnsi="Times New Roman" w:eastAsia="仿宋"/>
          <w:sz w:val="32"/>
          <w:szCs w:val="32"/>
        </w:rPr>
        <w:t>，</w:t>
      </w:r>
      <w:bookmarkStart w:id="21" w:name="OLE_LINK3"/>
      <w:bookmarkStart w:id="22" w:name="OLE_LINK2"/>
      <w:r>
        <w:rPr>
          <w:rFonts w:ascii="Times New Roman" w:hAnsi="Times New Roman" w:eastAsia="仿宋"/>
          <w:sz w:val="32"/>
          <w:szCs w:val="32"/>
        </w:rPr>
        <w:t>其中直接排放相比上一年度增加66006.69吨/27.01%，间接排放相比上一年度增加</w:t>
      </w:r>
      <w:bookmarkEnd w:id="21"/>
      <w:bookmarkEnd w:id="22"/>
      <w:r>
        <w:rPr>
          <w:rFonts w:ascii="Times New Roman" w:hAnsi="Times New Roman" w:eastAsia="仿宋"/>
          <w:sz w:val="32"/>
          <w:szCs w:val="32"/>
        </w:rPr>
        <w:t>5775.82吨/18.63%，原因为排放单位2019年通过新建、划转和收购增加了xx个热源厂，供热量明显增加，热力站耗电量也相应有所提高。</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本年度排放量相比历史基准年份排放量相比上升71782.51吨，上升比例为26.06%，原因为排放单位增加了xx个热源厂含xx座燃气锅炉、xx座燃煤锅炉</w:t>
      </w:r>
      <w:r>
        <w:rPr>
          <w:rFonts w:hint="eastAsia" w:ascii="Times New Roman" w:hAnsi="Times New Roman" w:eastAsia="仿宋_GB2312"/>
          <w:sz w:val="32"/>
          <w:szCs w:val="32"/>
        </w:rPr>
        <w:t>、xx座燃油锅炉、xx座电锅炉</w:t>
      </w:r>
      <w:r>
        <w:rPr>
          <w:rFonts w:ascii="Times New Roman" w:hAnsi="Times New Roman" w:eastAsia="仿宋_GB2312"/>
          <w:sz w:val="32"/>
          <w:szCs w:val="32"/>
        </w:rPr>
        <w:t>，增加了xx个热力站，供热面积增加了xxx平方米，供热量增加了xxxxTJ；相比上一年度增加了XXX，原因是XXX</w:t>
      </w:r>
    </w:p>
    <w:p>
      <w:pPr>
        <w:jc w:val="center"/>
        <w:rPr>
          <w:rFonts w:ascii="Times New Roman" w:hAnsi="Times New Roman" w:eastAsia="仿宋_GB2312"/>
          <w:sz w:val="32"/>
          <w:szCs w:val="32"/>
        </w:rPr>
      </w:pPr>
      <w:r>
        <w:rPr>
          <w:rFonts w:ascii="Times New Roman" w:hAnsi="Times New Roman" w:eastAsia="仿宋_GB2312"/>
          <w:sz w:val="24"/>
        </w:rPr>
        <w:t>表XX  排放量汇总表</w:t>
      </w:r>
    </w:p>
    <w:tbl>
      <w:tblPr>
        <w:tblStyle w:val="35"/>
        <w:tblW w:w="79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144"/>
        <w:gridCol w:w="2243"/>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 w:hRule="atLeast"/>
        </w:trPr>
        <w:tc>
          <w:tcPr>
            <w:tcW w:w="1260" w:type="dxa"/>
            <w:vAlign w:val="center"/>
          </w:tcPr>
          <w:p>
            <w:pPr>
              <w:spacing w:line="240" w:lineRule="auto"/>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年度</w:t>
            </w:r>
          </w:p>
        </w:tc>
        <w:tc>
          <w:tcPr>
            <w:tcW w:w="2144" w:type="dxa"/>
            <w:vAlign w:val="center"/>
          </w:tcPr>
          <w:p>
            <w:pPr>
              <w:spacing w:line="240" w:lineRule="auto"/>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43" w:type="dxa"/>
            <w:vAlign w:val="center"/>
          </w:tcPr>
          <w:p>
            <w:pPr>
              <w:spacing w:line="240" w:lineRule="auto"/>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70" w:type="dxa"/>
            <w:vAlign w:val="center"/>
          </w:tcPr>
          <w:p>
            <w:pPr>
              <w:spacing w:line="240" w:lineRule="auto"/>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排放总量（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60"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2016</w:t>
            </w:r>
          </w:p>
        </w:tc>
        <w:tc>
          <w:tcPr>
            <w:tcW w:w="2144"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229417.49</w:t>
            </w:r>
          </w:p>
        </w:tc>
        <w:tc>
          <w:tcPr>
            <w:tcW w:w="2243"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29003.31</w:t>
            </w:r>
          </w:p>
        </w:tc>
        <w:tc>
          <w:tcPr>
            <w:tcW w:w="2270" w:type="dxa"/>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258420.80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60"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2017</w:t>
            </w:r>
          </w:p>
        </w:tc>
        <w:tc>
          <w:tcPr>
            <w:tcW w:w="2144"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234417.49</w:t>
            </w:r>
          </w:p>
        </w:tc>
        <w:tc>
          <w:tcPr>
            <w:tcW w:w="2243"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30203.31</w:t>
            </w:r>
          </w:p>
        </w:tc>
        <w:tc>
          <w:tcPr>
            <w:tcW w:w="2270" w:type="dxa"/>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264620.80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2018</w:t>
            </w:r>
          </w:p>
        </w:tc>
        <w:tc>
          <w:tcPr>
            <w:tcW w:w="2144"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244417.49</w:t>
            </w:r>
          </w:p>
        </w:tc>
        <w:tc>
          <w:tcPr>
            <w:tcW w:w="2243"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31003.31</w:t>
            </w:r>
          </w:p>
        </w:tc>
        <w:tc>
          <w:tcPr>
            <w:tcW w:w="2270" w:type="dxa"/>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275420.80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2019</w:t>
            </w:r>
          </w:p>
        </w:tc>
        <w:tc>
          <w:tcPr>
            <w:tcW w:w="2144"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310424.18</w:t>
            </w:r>
          </w:p>
        </w:tc>
        <w:tc>
          <w:tcPr>
            <w:tcW w:w="2243"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36779.13</w:t>
            </w:r>
          </w:p>
        </w:tc>
        <w:tc>
          <w:tcPr>
            <w:tcW w:w="2270" w:type="dxa"/>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347203.31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spacing w:line="240" w:lineRule="auto"/>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2</w:t>
            </w:r>
            <w:r>
              <w:rPr>
                <w:rFonts w:ascii="Times New Roman" w:hAnsi="Times New Roman" w:eastAsia="仿宋_GB2312"/>
                <w:color w:val="000000"/>
                <w:sz w:val="21"/>
                <w:szCs w:val="21"/>
              </w:rPr>
              <w:t>020</w:t>
            </w:r>
          </w:p>
        </w:tc>
        <w:tc>
          <w:tcPr>
            <w:tcW w:w="2144"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310424.18</w:t>
            </w:r>
          </w:p>
        </w:tc>
        <w:tc>
          <w:tcPr>
            <w:tcW w:w="2243" w:type="dxa"/>
            <w:noWrap/>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36779.13</w:t>
            </w:r>
          </w:p>
        </w:tc>
        <w:tc>
          <w:tcPr>
            <w:tcW w:w="2270" w:type="dxa"/>
            <w:vAlign w:val="center"/>
          </w:tcPr>
          <w:p>
            <w:pPr>
              <w:spacing w:line="240" w:lineRule="auto"/>
              <w:jc w:val="center"/>
              <w:rPr>
                <w:rFonts w:ascii="Times New Roman" w:hAnsi="Times New Roman" w:eastAsia="仿宋_GB2312"/>
                <w:color w:val="000000"/>
                <w:sz w:val="21"/>
                <w:szCs w:val="21"/>
              </w:rPr>
            </w:pPr>
            <w:r>
              <w:rPr>
                <w:rFonts w:ascii="Times New Roman" w:hAnsi="Times New Roman" w:eastAsia="仿宋_GB2312"/>
                <w:color w:val="000000"/>
                <w:sz w:val="21"/>
                <w:szCs w:val="21"/>
              </w:rPr>
              <w:t>347203.31</w:t>
            </w:r>
          </w:p>
        </w:tc>
      </w:tr>
    </w:tbl>
    <w:p>
      <w:pPr>
        <w:ind w:firstLine="440" w:firstLineChars="200"/>
        <w:rPr>
          <w:rFonts w:ascii="Times New Roman" w:hAnsi="Times New Roman" w:eastAsia="仿宋_GB2312"/>
          <w:sz w:val="32"/>
          <w:szCs w:val="32"/>
        </w:rPr>
      </w:pPr>
      <w:r>
        <w:rPr>
          <w:lang w:val="en-US"/>
        </w:rPr>
        <w:drawing>
          <wp:inline distT="0" distB="0" distL="0" distR="0">
            <wp:extent cx="4568825" cy="2740025"/>
            <wp:effectExtent l="0" t="0" r="3175" b="3175"/>
            <wp:docPr id="9" name="图表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pPr>
        <w:spacing w:after="0" w:line="560" w:lineRule="exact"/>
        <w:ind w:firstLine="640" w:firstLineChars="200"/>
        <w:jc w:val="center"/>
        <w:rPr>
          <w:rFonts w:ascii="Times New Roman" w:hAnsi="Times New Roman" w:eastAsia="仿宋_GB2312"/>
          <w:sz w:val="32"/>
          <w:szCs w:val="32"/>
        </w:rPr>
      </w:pPr>
      <w:r>
        <w:rPr>
          <w:rFonts w:ascii="Times New Roman" w:hAnsi="Times New Roman" w:eastAsia="仿宋_GB2312"/>
          <w:sz w:val="32"/>
          <w:szCs w:val="32"/>
        </w:rPr>
        <w:t>图1  排放量变化趋势图（增加</w:t>
      </w:r>
      <w:r>
        <w:rPr>
          <w:rFonts w:hint="eastAsia" w:ascii="Times New Roman" w:hAnsi="Times New Roman" w:eastAsia="仿宋_GB2312"/>
          <w:sz w:val="32"/>
          <w:szCs w:val="32"/>
        </w:rPr>
        <w:t>2</w:t>
      </w:r>
      <w:r>
        <w:rPr>
          <w:rFonts w:ascii="Times New Roman" w:hAnsi="Times New Roman" w:eastAsia="仿宋_GB2312"/>
          <w:sz w:val="32"/>
          <w:szCs w:val="32"/>
        </w:rPr>
        <w:t>020年度）</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4.核算和报告边界变化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
          <w:sz w:val="32"/>
          <w:szCs w:val="32"/>
        </w:rPr>
        <w:t>4.1 本年度</w:t>
      </w:r>
      <w:r>
        <w:rPr>
          <w:rFonts w:ascii="Times New Roman" w:hAnsi="Times New Roman" w:eastAsia="仿宋_GB2312"/>
          <w:sz w:val="32"/>
          <w:szCs w:val="32"/>
        </w:rPr>
        <w:t>场所边界的变化</w:t>
      </w:r>
    </w:p>
    <w:p>
      <w:pPr>
        <w:spacing w:after="0" w:line="560" w:lineRule="exact"/>
        <w:ind w:firstLine="640" w:firstLineChars="200"/>
        <w:rPr>
          <w:rFonts w:ascii="Times New Roman" w:hAnsi="Times New Roman" w:eastAsia="仿宋"/>
          <w:sz w:val="32"/>
          <w:szCs w:val="32"/>
        </w:rPr>
      </w:pPr>
      <w:r>
        <w:rPr>
          <w:rFonts w:ascii="Times New Roman" w:hAnsi="Times New Roman" w:eastAsia="仿宋"/>
          <w:sz w:val="32"/>
          <w:szCs w:val="32"/>
        </w:rPr>
        <w:t>排放单位核算和报告边界为北京市辖区内所涉及的热源厂xxx个，热力站xxx座，热力管网xxx公里，总供热面积xxx亿平方米，此外，还包括位于xxx的办公楼。</w:t>
      </w:r>
    </w:p>
    <w:p>
      <w:pPr>
        <w:spacing w:after="0" w:line="560" w:lineRule="exact"/>
        <w:ind w:firstLine="640" w:firstLineChars="200"/>
        <w:rPr>
          <w:rFonts w:ascii="Times New Roman" w:hAnsi="Times New Roman" w:eastAsia="仿宋"/>
          <w:sz w:val="32"/>
          <w:szCs w:val="32"/>
        </w:rPr>
      </w:pPr>
      <w:r>
        <w:rPr>
          <w:rFonts w:ascii="Times New Roman" w:hAnsi="Times New Roman" w:eastAsia="仿宋"/>
          <w:sz w:val="32"/>
          <w:szCs w:val="32"/>
        </w:rPr>
        <w:t>相比上年度，增加xxx个热源厂、xxx座热力站，增加供热面积xxx平方米。</w:t>
      </w:r>
    </w:p>
    <w:p>
      <w:pPr>
        <w:spacing w:after="0" w:line="560" w:lineRule="exact"/>
        <w:ind w:firstLine="640" w:firstLineChars="200"/>
        <w:rPr>
          <w:rFonts w:ascii="Times New Roman" w:hAnsi="Times New Roman" w:eastAsia="仿宋"/>
          <w:sz w:val="32"/>
          <w:szCs w:val="32"/>
        </w:rPr>
      </w:pPr>
      <w:r>
        <w:rPr>
          <w:rFonts w:ascii="Times New Roman" w:hAnsi="Times New Roman" w:eastAsia="仿宋"/>
          <w:sz w:val="32"/>
          <w:szCs w:val="32"/>
        </w:rPr>
        <w:t>相比基准年，增加xxx个热源厂、xxx座热力站，增加供热面积xxx平方米。</w:t>
      </w:r>
    </w:p>
    <w:p>
      <w:pPr>
        <w:spacing w:after="0" w:line="560" w:lineRule="exact"/>
        <w:ind w:firstLine="640" w:firstLineChars="200"/>
        <w:rPr>
          <w:rFonts w:ascii="Times New Roman" w:hAnsi="Times New Roman" w:eastAsia="仿宋"/>
          <w:sz w:val="32"/>
          <w:szCs w:val="32"/>
        </w:rPr>
      </w:pPr>
      <w:r>
        <w:rPr>
          <w:rFonts w:ascii="Times New Roman" w:hAnsi="Times New Roman" w:eastAsia="仿宋"/>
          <w:sz w:val="32"/>
          <w:szCs w:val="32"/>
        </w:rPr>
        <w:t>4.2本年度排放设施的变化</w:t>
      </w:r>
    </w:p>
    <w:p>
      <w:pPr>
        <w:spacing w:after="0" w:line="560" w:lineRule="exact"/>
        <w:ind w:firstLine="465"/>
        <w:rPr>
          <w:rFonts w:ascii="Times New Roman" w:hAnsi="Times New Roman" w:eastAsia="仿宋"/>
          <w:sz w:val="32"/>
          <w:szCs w:val="32"/>
        </w:rPr>
      </w:pPr>
      <w:r>
        <w:rPr>
          <w:rFonts w:ascii="Times New Roman" w:hAnsi="Times New Roman" w:eastAsia="仿宋"/>
          <w:sz w:val="32"/>
          <w:szCs w:val="32"/>
        </w:rPr>
        <w:t>排放单位不涉及既有设施配额调整。</w:t>
      </w:r>
    </w:p>
    <w:p>
      <w:pPr>
        <w:spacing w:after="0" w:line="560" w:lineRule="exact"/>
        <w:ind w:firstLine="465"/>
        <w:rPr>
          <w:rFonts w:ascii="Times New Roman" w:hAnsi="Times New Roman" w:eastAsia="仿宋"/>
          <w:bCs/>
          <w:sz w:val="32"/>
          <w:szCs w:val="32"/>
        </w:rPr>
      </w:pPr>
      <w:r>
        <w:rPr>
          <w:rFonts w:ascii="Times New Roman" w:hAnsi="Times New Roman" w:eastAsia="仿宋"/>
          <w:bCs/>
          <w:sz w:val="32"/>
          <w:szCs w:val="32"/>
        </w:rPr>
        <w:t>排放单位退出的既有设施包括xx热源厂的2台燃气锅炉。</w:t>
      </w:r>
    </w:p>
    <w:p>
      <w:pPr>
        <w:jc w:val="center"/>
        <w:rPr>
          <w:rFonts w:ascii="Times New Roman" w:hAnsi="Times New Roman" w:eastAsia="仿宋_GB2312"/>
          <w:sz w:val="24"/>
        </w:rPr>
      </w:pPr>
      <w:r>
        <w:rPr>
          <w:rFonts w:ascii="Times New Roman" w:hAnsi="Times New Roman" w:eastAsia="仿宋_GB2312"/>
          <w:sz w:val="24"/>
        </w:rPr>
        <w:t>表XX  既有设施退出信息表</w:t>
      </w:r>
    </w:p>
    <w:tbl>
      <w:tblPr>
        <w:tblStyle w:val="3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52"/>
        <w:gridCol w:w="1090"/>
        <w:gridCol w:w="708"/>
        <w:gridCol w:w="916"/>
        <w:gridCol w:w="1078"/>
        <w:gridCol w:w="1174"/>
        <w:gridCol w:w="1174"/>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45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序号</w:t>
            </w:r>
          </w:p>
        </w:tc>
        <w:tc>
          <w:tcPr>
            <w:tcW w:w="78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既有设施名称</w:t>
            </w:r>
          </w:p>
        </w:tc>
        <w:tc>
          <w:tcPr>
            <w:tcW w:w="1134"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既有设施对应其它生产信息（如适用）</w:t>
            </w:r>
          </w:p>
        </w:tc>
        <w:tc>
          <w:tcPr>
            <w:tcW w:w="709"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退出时间</w:t>
            </w:r>
          </w:p>
        </w:tc>
        <w:tc>
          <w:tcPr>
            <w:tcW w:w="968"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是否由新增设施替代</w:t>
            </w:r>
          </w:p>
        </w:tc>
        <w:tc>
          <w:tcPr>
            <w:tcW w:w="1121" w:type="dxa"/>
            <w:vMerge w:val="restart"/>
            <w:tcBorders>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年度</w:t>
            </w:r>
          </w:p>
        </w:tc>
        <w:tc>
          <w:tcPr>
            <w:tcW w:w="3348" w:type="dxa"/>
            <w:gridSpan w:val="3"/>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历史年度排放量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56" w:type="dxa"/>
            <w:vMerge w:val="continue"/>
            <w:vAlign w:val="center"/>
          </w:tcPr>
          <w:p>
            <w:pPr>
              <w:jc w:val="center"/>
              <w:rPr>
                <w:rFonts w:ascii="Times New Roman" w:hAnsi="Times New Roman" w:eastAsia="仿宋_GB2312"/>
                <w:sz w:val="24"/>
              </w:rPr>
            </w:pPr>
          </w:p>
        </w:tc>
        <w:tc>
          <w:tcPr>
            <w:tcW w:w="786" w:type="dxa"/>
            <w:vMerge w:val="continue"/>
            <w:vAlign w:val="center"/>
          </w:tcPr>
          <w:p>
            <w:pPr>
              <w:jc w:val="center"/>
              <w:rPr>
                <w:rFonts w:ascii="Times New Roman" w:hAnsi="Times New Roman" w:eastAsia="仿宋_GB2312"/>
                <w:sz w:val="24"/>
              </w:rPr>
            </w:pPr>
          </w:p>
        </w:tc>
        <w:tc>
          <w:tcPr>
            <w:tcW w:w="1134" w:type="dxa"/>
            <w:vMerge w:val="continue"/>
            <w:vAlign w:val="center"/>
          </w:tcPr>
          <w:p>
            <w:pPr>
              <w:jc w:val="center"/>
              <w:rPr>
                <w:rFonts w:ascii="Times New Roman" w:hAnsi="Times New Roman" w:eastAsia="仿宋_GB2312"/>
                <w:sz w:val="24"/>
              </w:rPr>
            </w:pPr>
          </w:p>
        </w:tc>
        <w:tc>
          <w:tcPr>
            <w:tcW w:w="709" w:type="dxa"/>
            <w:vMerge w:val="continue"/>
            <w:vAlign w:val="center"/>
          </w:tcPr>
          <w:p>
            <w:pPr>
              <w:jc w:val="center"/>
              <w:rPr>
                <w:rFonts w:ascii="Times New Roman" w:hAnsi="Times New Roman" w:eastAsia="仿宋_GB2312"/>
                <w:sz w:val="24"/>
              </w:rPr>
            </w:pPr>
          </w:p>
        </w:tc>
        <w:tc>
          <w:tcPr>
            <w:tcW w:w="968" w:type="dxa"/>
            <w:vMerge w:val="continue"/>
            <w:vAlign w:val="center"/>
          </w:tcPr>
          <w:p>
            <w:pPr>
              <w:jc w:val="center"/>
              <w:rPr>
                <w:rFonts w:ascii="Times New Roman" w:hAnsi="Times New Roman" w:eastAsia="仿宋_GB2312"/>
                <w:sz w:val="24"/>
              </w:rPr>
            </w:pPr>
          </w:p>
        </w:tc>
        <w:tc>
          <w:tcPr>
            <w:tcW w:w="1121" w:type="dxa"/>
            <w:vMerge w:val="continue"/>
            <w:tcBorders>
              <w:right w:val="single" w:color="auto" w:sz="4" w:space="0"/>
            </w:tcBorders>
            <w:vAlign w:val="center"/>
          </w:tcPr>
          <w:p>
            <w:pPr>
              <w:jc w:val="center"/>
              <w:rPr>
                <w:rFonts w:ascii="Times New Roman" w:hAnsi="Times New Roman" w:eastAsia="仿宋_GB2312"/>
                <w:sz w:val="24"/>
              </w:rPr>
            </w:pPr>
          </w:p>
        </w:tc>
        <w:tc>
          <w:tcPr>
            <w:tcW w:w="1116" w:type="dxa"/>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直接排放量</w:t>
            </w:r>
          </w:p>
          <w:p>
            <w:pPr>
              <w:jc w:val="center"/>
              <w:rPr>
                <w:rFonts w:ascii="Times New Roman" w:hAnsi="Times New Roman" w:eastAsia="仿宋_GB2312"/>
                <w:sz w:val="24"/>
              </w:rPr>
            </w:pPr>
            <w:r>
              <w:rPr>
                <w:rFonts w:ascii="Times New Roman" w:hAnsi="Times New Roman" w:eastAsia="仿宋_GB2312"/>
                <w:sz w:val="24"/>
              </w:rPr>
              <w:t>（tCO</w:t>
            </w:r>
            <w:r>
              <w:rPr>
                <w:rFonts w:ascii="Times New Roman" w:hAnsi="Times New Roman" w:eastAsia="仿宋_GB2312"/>
                <w:sz w:val="24"/>
                <w:vertAlign w:val="subscript"/>
              </w:rPr>
              <w:t>2</w:t>
            </w:r>
            <w:r>
              <w:rPr>
                <w:rFonts w:ascii="Times New Roman" w:hAnsi="Times New Roman" w:eastAsia="仿宋_GB2312"/>
                <w:sz w:val="24"/>
              </w:rPr>
              <w:t>）</w:t>
            </w:r>
          </w:p>
        </w:tc>
        <w:tc>
          <w:tcPr>
            <w:tcW w:w="1116" w:type="dxa"/>
            <w:vAlign w:val="center"/>
          </w:tcPr>
          <w:p>
            <w:pPr>
              <w:jc w:val="center"/>
              <w:rPr>
                <w:rFonts w:ascii="Times New Roman" w:hAnsi="Times New Roman" w:eastAsia="仿宋_GB2312"/>
                <w:sz w:val="24"/>
              </w:rPr>
            </w:pPr>
            <w:r>
              <w:rPr>
                <w:rFonts w:ascii="Times New Roman" w:hAnsi="Times New Roman" w:eastAsia="仿宋_GB2312"/>
                <w:sz w:val="24"/>
              </w:rPr>
              <w:t>间接排放量（tCO</w:t>
            </w:r>
            <w:r>
              <w:rPr>
                <w:rFonts w:ascii="Times New Roman" w:hAnsi="Times New Roman" w:eastAsia="仿宋_GB2312"/>
                <w:sz w:val="24"/>
                <w:vertAlign w:val="subscript"/>
              </w:rPr>
              <w:t>2</w:t>
            </w:r>
            <w:r>
              <w:rPr>
                <w:rFonts w:ascii="Times New Roman" w:hAnsi="Times New Roman" w:eastAsia="仿宋_GB2312"/>
                <w:sz w:val="24"/>
              </w:rPr>
              <w:t>）</w:t>
            </w:r>
          </w:p>
        </w:tc>
        <w:tc>
          <w:tcPr>
            <w:tcW w:w="1116" w:type="dxa"/>
            <w:vAlign w:val="center"/>
          </w:tcPr>
          <w:p>
            <w:pPr>
              <w:jc w:val="center"/>
              <w:rPr>
                <w:rFonts w:ascii="Times New Roman" w:hAnsi="Times New Roman" w:eastAsia="仿宋_GB2312"/>
                <w:sz w:val="24"/>
              </w:rPr>
            </w:pPr>
            <w:r>
              <w:rPr>
                <w:rFonts w:ascii="Times New Roman" w:hAnsi="Times New Roman" w:eastAsia="仿宋_GB2312"/>
                <w:sz w:val="24"/>
              </w:rPr>
              <w:t>总排放量（tCO</w:t>
            </w:r>
            <w:r>
              <w:rPr>
                <w:rFonts w:ascii="Times New Roman" w:hAnsi="Times New Roman" w:eastAsia="仿宋_GB2312"/>
                <w:sz w:val="24"/>
                <w:vertAlign w:val="subscript"/>
              </w:rPr>
              <w:t>2</w:t>
            </w: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45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1</w:t>
            </w:r>
          </w:p>
        </w:tc>
        <w:tc>
          <w:tcPr>
            <w:tcW w:w="78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燃气锅炉</w:t>
            </w:r>
          </w:p>
        </w:tc>
        <w:tc>
          <w:tcPr>
            <w:tcW w:w="1134" w:type="dxa"/>
            <w:vMerge w:val="restart"/>
            <w:vAlign w:val="center"/>
          </w:tcPr>
          <w:p>
            <w:pPr>
              <w:jc w:val="center"/>
              <w:rPr>
                <w:rFonts w:ascii="Times New Roman" w:hAnsi="Times New Roman" w:eastAsia="仿宋_GB2312"/>
                <w:sz w:val="24"/>
              </w:rPr>
            </w:pPr>
          </w:p>
        </w:tc>
        <w:tc>
          <w:tcPr>
            <w:tcW w:w="709"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2017</w:t>
            </w:r>
          </w:p>
        </w:tc>
        <w:tc>
          <w:tcPr>
            <w:tcW w:w="968"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2016年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2000.00</w:t>
            </w:r>
          </w:p>
        </w:tc>
        <w:tc>
          <w:tcPr>
            <w:tcW w:w="1116" w:type="dxa"/>
          </w:tcPr>
          <w:p>
            <w:pPr>
              <w:rPr>
                <w:rFonts w:ascii="Times New Roman" w:hAnsi="Times New Roman" w:eastAsia="仿宋_GB2312"/>
                <w:sz w:val="24"/>
              </w:rPr>
            </w:pPr>
            <w:r>
              <w:rPr>
                <w:rFonts w:ascii="Times New Roman" w:hAnsi="Times New Roman" w:eastAsia="仿宋_GB2312"/>
                <w:sz w:val="24"/>
              </w:rPr>
              <w:t>30.00</w:t>
            </w:r>
          </w:p>
        </w:tc>
        <w:tc>
          <w:tcPr>
            <w:tcW w:w="1116" w:type="dxa"/>
          </w:tcPr>
          <w:p>
            <w:pPr>
              <w:rPr>
                <w:rFonts w:ascii="Times New Roman" w:hAnsi="Times New Roman" w:eastAsia="仿宋_GB2312"/>
                <w:sz w:val="24"/>
              </w:rPr>
            </w:pPr>
            <w:r>
              <w:rPr>
                <w:rFonts w:ascii="Times New Roman" w:hAnsi="Times New Roman" w:eastAsia="仿宋_GB2312"/>
                <w:sz w:val="24"/>
              </w:rPr>
              <w:t>2030.00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ascii="Times New Roman" w:hAnsi="Times New Roman" w:eastAsia="仿宋_GB2312"/>
                <w:sz w:val="24"/>
              </w:rPr>
            </w:pPr>
          </w:p>
        </w:tc>
        <w:tc>
          <w:tcPr>
            <w:tcW w:w="786" w:type="dxa"/>
            <w:vMerge w:val="continue"/>
          </w:tcPr>
          <w:p>
            <w:pPr>
              <w:rPr>
                <w:rFonts w:ascii="Times New Roman" w:hAnsi="Times New Roman" w:eastAsia="仿宋_GB2312"/>
                <w:sz w:val="24"/>
              </w:rPr>
            </w:pPr>
          </w:p>
        </w:tc>
        <w:tc>
          <w:tcPr>
            <w:tcW w:w="1134" w:type="dxa"/>
            <w:vMerge w:val="continue"/>
          </w:tcPr>
          <w:p>
            <w:pPr>
              <w:rPr>
                <w:rFonts w:ascii="Times New Roman" w:hAnsi="Times New Roman" w:eastAsia="仿宋_GB2312"/>
                <w:sz w:val="24"/>
              </w:rPr>
            </w:pPr>
          </w:p>
        </w:tc>
        <w:tc>
          <w:tcPr>
            <w:tcW w:w="709" w:type="dxa"/>
            <w:vMerge w:val="continue"/>
          </w:tcPr>
          <w:p>
            <w:pPr>
              <w:rPr>
                <w:rFonts w:ascii="Times New Roman" w:hAnsi="Times New Roman" w:eastAsia="仿宋_GB2312"/>
                <w:sz w:val="24"/>
              </w:rPr>
            </w:pPr>
          </w:p>
        </w:tc>
        <w:tc>
          <w:tcPr>
            <w:tcW w:w="968" w:type="dxa"/>
            <w:vMerge w:val="continue"/>
          </w:tcPr>
          <w:p>
            <w:pPr>
              <w:rPr>
                <w:rFonts w:ascii="Times New Roman" w:hAnsi="Times New Roman" w:eastAsia="仿宋_GB2312"/>
                <w:sz w:val="24"/>
              </w:rPr>
            </w:pP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2017年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800.00</w:t>
            </w:r>
          </w:p>
        </w:tc>
        <w:tc>
          <w:tcPr>
            <w:tcW w:w="1116" w:type="dxa"/>
          </w:tcPr>
          <w:p>
            <w:pPr>
              <w:rPr>
                <w:rFonts w:ascii="Times New Roman" w:hAnsi="Times New Roman" w:eastAsia="仿宋_GB2312"/>
                <w:sz w:val="24"/>
              </w:rPr>
            </w:pPr>
            <w:r>
              <w:rPr>
                <w:rFonts w:ascii="Times New Roman" w:hAnsi="Times New Roman" w:eastAsia="仿宋_GB2312"/>
                <w:sz w:val="24"/>
              </w:rPr>
              <w:t>10.00</w:t>
            </w:r>
          </w:p>
        </w:tc>
        <w:tc>
          <w:tcPr>
            <w:tcW w:w="1116" w:type="dxa"/>
          </w:tcPr>
          <w:p>
            <w:pPr>
              <w:rPr>
                <w:rFonts w:ascii="Times New Roman" w:hAnsi="Times New Roman" w:eastAsia="仿宋_GB2312"/>
                <w:sz w:val="24"/>
              </w:rPr>
            </w:pPr>
            <w:r>
              <w:rPr>
                <w:rFonts w:ascii="Times New Roman" w:hAnsi="Times New Roman" w:eastAsia="仿宋_GB2312"/>
                <w:sz w:val="24"/>
              </w:rPr>
              <w:t>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ascii="Times New Roman" w:hAnsi="Times New Roman" w:eastAsia="仿宋_GB2312"/>
                <w:sz w:val="24"/>
              </w:rPr>
            </w:pPr>
          </w:p>
        </w:tc>
        <w:tc>
          <w:tcPr>
            <w:tcW w:w="786" w:type="dxa"/>
            <w:vMerge w:val="continue"/>
          </w:tcPr>
          <w:p>
            <w:pPr>
              <w:rPr>
                <w:rFonts w:ascii="Times New Roman" w:hAnsi="Times New Roman" w:eastAsia="仿宋_GB2312"/>
                <w:sz w:val="24"/>
              </w:rPr>
            </w:pPr>
          </w:p>
        </w:tc>
        <w:tc>
          <w:tcPr>
            <w:tcW w:w="1134" w:type="dxa"/>
            <w:vMerge w:val="continue"/>
          </w:tcPr>
          <w:p>
            <w:pPr>
              <w:rPr>
                <w:rFonts w:ascii="Times New Roman" w:hAnsi="Times New Roman" w:eastAsia="仿宋_GB2312"/>
                <w:sz w:val="24"/>
              </w:rPr>
            </w:pPr>
          </w:p>
        </w:tc>
        <w:tc>
          <w:tcPr>
            <w:tcW w:w="709" w:type="dxa"/>
            <w:vMerge w:val="continue"/>
          </w:tcPr>
          <w:p>
            <w:pPr>
              <w:rPr>
                <w:rFonts w:ascii="Times New Roman" w:hAnsi="Times New Roman" w:eastAsia="仿宋_GB2312"/>
                <w:sz w:val="24"/>
              </w:rPr>
            </w:pPr>
          </w:p>
        </w:tc>
        <w:tc>
          <w:tcPr>
            <w:tcW w:w="968" w:type="dxa"/>
            <w:vMerge w:val="continue"/>
          </w:tcPr>
          <w:p>
            <w:pPr>
              <w:rPr>
                <w:rFonts w:ascii="Times New Roman" w:hAnsi="Times New Roman" w:eastAsia="仿宋_GB2312"/>
                <w:sz w:val="24"/>
              </w:rPr>
            </w:pP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2018年</w:t>
            </w:r>
          </w:p>
        </w:tc>
        <w:tc>
          <w:tcPr>
            <w:tcW w:w="1116" w:type="dxa"/>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w:t>
            </w:r>
          </w:p>
        </w:tc>
        <w:tc>
          <w:tcPr>
            <w:tcW w:w="1116" w:type="dxa"/>
            <w:vAlign w:val="center"/>
          </w:tcPr>
          <w:p>
            <w:pPr>
              <w:jc w:val="center"/>
              <w:rPr>
                <w:rFonts w:ascii="Times New Roman" w:hAnsi="Times New Roman" w:eastAsia="仿宋_GB2312"/>
                <w:sz w:val="24"/>
              </w:rPr>
            </w:pPr>
            <w:r>
              <w:rPr>
                <w:rFonts w:ascii="Times New Roman" w:hAnsi="Times New Roman" w:eastAsia="仿宋_GB2312"/>
                <w:sz w:val="24"/>
              </w:rPr>
              <w:t>/</w:t>
            </w:r>
          </w:p>
        </w:tc>
        <w:tc>
          <w:tcPr>
            <w:tcW w:w="1116" w:type="dxa"/>
            <w:vAlign w:val="center"/>
          </w:tcPr>
          <w:p>
            <w:pPr>
              <w:tabs>
                <w:tab w:val="left" w:pos="420"/>
              </w:tabs>
              <w:jc w:val="center"/>
              <w:rPr>
                <w:rFonts w:ascii="Times New Roman" w:hAnsi="Times New Roman" w:eastAsia="仿宋_GB2312"/>
                <w:sz w:val="24"/>
              </w:rPr>
            </w:pPr>
            <w:r>
              <w:rPr>
                <w:rFonts w:ascii="Times New Roman" w:hAnsi="Times New Roman" w:eastAsia="仿宋_GB2312"/>
                <w:sz w:val="24"/>
              </w:rPr>
              <w:t>/</w:t>
            </w:r>
          </w:p>
        </w:tc>
      </w:tr>
    </w:tbl>
    <w:p>
      <w:pPr>
        <w:spacing w:after="0" w:line="560" w:lineRule="exact"/>
        <w:ind w:firstLine="465"/>
        <w:rPr>
          <w:rFonts w:ascii="Times New Roman" w:hAnsi="Times New Roman" w:eastAsia="仿宋"/>
          <w:sz w:val="32"/>
          <w:szCs w:val="32"/>
        </w:rPr>
      </w:pPr>
      <w:r>
        <w:rPr>
          <w:rFonts w:ascii="Times New Roman" w:hAnsi="Times New Roman" w:eastAsia="仿宋"/>
          <w:bCs/>
          <w:sz w:val="32"/>
          <w:szCs w:val="32"/>
        </w:rPr>
        <w:t>排放单位新增设施主要包括新建、划转及收购的热源厂的锅炉以及原有热源厂新增的排放设施，新增设施及其排放量信息具体如下，</w:t>
      </w:r>
      <w:r>
        <w:rPr>
          <w:rFonts w:ascii="Times New Roman" w:hAnsi="Times New Roman" w:eastAsia="仿宋"/>
          <w:sz w:val="32"/>
          <w:szCs w:val="32"/>
        </w:rPr>
        <w:t>信息供新增设施配额发放参考。</w:t>
      </w:r>
    </w:p>
    <w:p>
      <w:pPr>
        <w:jc w:val="center"/>
        <w:rPr>
          <w:rFonts w:ascii="Times New Roman" w:hAnsi="Times New Roman" w:eastAsia="仿宋_GB2312"/>
          <w:sz w:val="24"/>
        </w:rPr>
      </w:pPr>
      <w:r>
        <w:rPr>
          <w:rFonts w:ascii="Times New Roman" w:hAnsi="Times New Roman" w:eastAsia="仿宋_GB2312"/>
          <w:sz w:val="24"/>
        </w:rPr>
        <w:t>表XX  新增设施信息表</w:t>
      </w:r>
    </w:p>
    <w:tbl>
      <w:tblPr>
        <w:tblStyle w:val="3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982"/>
        <w:gridCol w:w="4046"/>
        <w:gridCol w:w="1200"/>
        <w:gridCol w:w="1383"/>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tcPr>
          <w:p>
            <w:pPr>
              <w:jc w:val="center"/>
              <w:rPr>
                <w:rFonts w:ascii="Times New Roman" w:hAnsi="Times New Roman" w:eastAsia="仿宋"/>
                <w:bCs/>
                <w:sz w:val="24"/>
              </w:rPr>
            </w:pPr>
            <w:r>
              <w:rPr>
                <w:rFonts w:ascii="Times New Roman" w:hAnsi="Times New Roman" w:eastAsia="仿宋"/>
                <w:bCs/>
                <w:sz w:val="24"/>
              </w:rPr>
              <w:t>序号</w:t>
            </w:r>
          </w:p>
        </w:tc>
        <w:tc>
          <w:tcPr>
            <w:tcW w:w="542" w:type="pct"/>
          </w:tcPr>
          <w:p>
            <w:pPr>
              <w:jc w:val="center"/>
              <w:rPr>
                <w:rFonts w:ascii="Times New Roman" w:hAnsi="Times New Roman" w:eastAsia="仿宋"/>
                <w:bCs/>
                <w:sz w:val="24"/>
              </w:rPr>
            </w:pPr>
            <w:r>
              <w:rPr>
                <w:rFonts w:ascii="Times New Roman" w:hAnsi="Times New Roman" w:eastAsia="仿宋"/>
                <w:bCs/>
                <w:sz w:val="24"/>
              </w:rPr>
              <w:t>设施新增年份</w:t>
            </w:r>
          </w:p>
        </w:tc>
        <w:tc>
          <w:tcPr>
            <w:tcW w:w="2234" w:type="pct"/>
          </w:tcPr>
          <w:p>
            <w:pPr>
              <w:jc w:val="center"/>
              <w:rPr>
                <w:rFonts w:ascii="Times New Roman" w:hAnsi="Times New Roman" w:eastAsia="仿宋"/>
                <w:bCs/>
                <w:sz w:val="24"/>
              </w:rPr>
            </w:pPr>
            <w:r>
              <w:rPr>
                <w:rFonts w:ascii="Times New Roman" w:hAnsi="Times New Roman" w:eastAsia="仿宋"/>
                <w:bCs/>
                <w:sz w:val="24"/>
              </w:rPr>
              <w:t>新增设施类型</w:t>
            </w:r>
          </w:p>
        </w:tc>
        <w:tc>
          <w:tcPr>
            <w:tcW w:w="663" w:type="pct"/>
          </w:tcPr>
          <w:p>
            <w:pPr>
              <w:ind w:left="-110" w:leftChars="-50" w:right="-110" w:rightChars="-50"/>
              <w:jc w:val="center"/>
              <w:rPr>
                <w:rFonts w:ascii="Times New Roman" w:hAnsi="Times New Roman" w:eastAsia="仿宋"/>
                <w:bCs/>
                <w:sz w:val="24"/>
              </w:rPr>
            </w:pPr>
            <w:r>
              <w:rPr>
                <w:rFonts w:ascii="Times New Roman" w:hAnsi="Times New Roman" w:eastAsia="仿宋"/>
                <w:bCs/>
                <w:sz w:val="24"/>
              </w:rPr>
              <w:t>是否替代既有设施，</w:t>
            </w:r>
            <w:r>
              <w:rPr>
                <w:rFonts w:ascii="Times New Roman" w:hAnsi="Times New Roman" w:eastAsia="仿宋_GB2312"/>
                <w:color w:val="000000"/>
                <w:sz w:val="24"/>
              </w:rPr>
              <w:t>被替代既有设施类型</w:t>
            </w:r>
          </w:p>
        </w:tc>
        <w:tc>
          <w:tcPr>
            <w:tcW w:w="764" w:type="pct"/>
          </w:tcPr>
          <w:p>
            <w:pPr>
              <w:jc w:val="center"/>
              <w:rPr>
                <w:rFonts w:ascii="Times New Roman" w:hAnsi="Times New Roman" w:eastAsia="仿宋"/>
                <w:bCs/>
                <w:sz w:val="24"/>
              </w:rPr>
            </w:pPr>
            <w:r>
              <w:rPr>
                <w:rFonts w:ascii="Times New Roman" w:hAnsi="Times New Roman" w:eastAsia="仿宋"/>
                <w:bCs/>
                <w:sz w:val="24"/>
              </w:rPr>
              <w:t>新增设施排放量（吨）</w:t>
            </w:r>
          </w:p>
        </w:tc>
        <w:tc>
          <w:tcPr>
            <w:tcW w:w="485" w:type="pct"/>
          </w:tcPr>
          <w:p>
            <w:pPr>
              <w:ind w:left="-110" w:leftChars="-50" w:right="-110" w:rightChars="-50"/>
              <w:jc w:val="center"/>
              <w:rPr>
                <w:rFonts w:ascii="Times New Roman" w:hAnsi="Times New Roman" w:eastAsia="仿宋"/>
                <w:bCs/>
                <w:sz w:val="24"/>
              </w:rPr>
            </w:pPr>
            <w:r>
              <w:rPr>
                <w:rFonts w:hint="eastAsia" w:ascii="Times New Roman" w:hAnsi="Times New Roman" w:eastAsia="仿宋"/>
                <w:bCs/>
                <w:sz w:val="24"/>
              </w:rPr>
              <w:t>替代既有设施的新增排放量(吨)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vAlign w:val="center"/>
          </w:tcPr>
          <w:p>
            <w:pPr>
              <w:jc w:val="center"/>
              <w:rPr>
                <w:rFonts w:ascii="Times New Roman" w:hAnsi="Times New Roman" w:eastAsia="仿宋"/>
                <w:bCs/>
                <w:sz w:val="24"/>
              </w:rPr>
            </w:pPr>
            <w:r>
              <w:rPr>
                <w:rFonts w:ascii="Times New Roman" w:hAnsi="Times New Roman" w:eastAsia="仿宋"/>
                <w:bCs/>
                <w:sz w:val="24"/>
              </w:rPr>
              <w:t>1</w:t>
            </w:r>
          </w:p>
        </w:tc>
        <w:tc>
          <w:tcPr>
            <w:tcW w:w="542" w:type="pct"/>
            <w:vAlign w:val="center"/>
          </w:tcPr>
          <w:p>
            <w:pPr>
              <w:jc w:val="center"/>
              <w:rPr>
                <w:rFonts w:ascii="Times New Roman" w:hAnsi="Times New Roman" w:eastAsia="仿宋"/>
                <w:bCs/>
                <w:sz w:val="24"/>
              </w:rPr>
            </w:pPr>
            <w:r>
              <w:rPr>
                <w:rFonts w:ascii="Times New Roman" w:hAnsi="Times New Roman" w:eastAsia="仿宋"/>
                <w:bCs/>
                <w:sz w:val="24"/>
              </w:rPr>
              <w:t>2019</w:t>
            </w:r>
          </w:p>
        </w:tc>
        <w:tc>
          <w:tcPr>
            <w:tcW w:w="2234" w:type="pct"/>
            <w:vAlign w:val="center"/>
          </w:tcPr>
          <w:p>
            <w:pPr>
              <w:jc w:val="center"/>
              <w:rPr>
                <w:rFonts w:ascii="Times New Roman" w:hAnsi="Times New Roman" w:eastAsia="仿宋"/>
                <w:bCs/>
                <w:sz w:val="24"/>
              </w:rPr>
            </w:pPr>
            <w:r>
              <w:rPr>
                <w:rFonts w:ascii="Times New Roman" w:hAnsi="Times New Roman" w:eastAsia="仿宋"/>
                <w:bCs/>
                <w:sz w:val="24"/>
              </w:rPr>
              <w:t>燃气锅炉x</w:t>
            </w:r>
            <w:r>
              <w:rPr>
                <w:rFonts w:hint="eastAsia" w:ascii="Times New Roman" w:hAnsi="Times New Roman" w:eastAsia="仿宋"/>
                <w:bCs/>
                <w:sz w:val="24"/>
              </w:rPr>
              <w:t>x</w:t>
            </w:r>
            <w:r>
              <w:rPr>
                <w:rFonts w:ascii="Times New Roman" w:hAnsi="Times New Roman" w:eastAsia="仿宋"/>
                <w:bCs/>
                <w:sz w:val="24"/>
              </w:rPr>
              <w:t>台：</w:t>
            </w:r>
            <w:r>
              <w:rPr>
                <w:rFonts w:ascii="Times New Roman" w:hAnsi="Times New Roman" w:eastAsia="仿宋"/>
                <w:sz w:val="24"/>
              </w:rPr>
              <w:t>xxx、xxx、xxx</w:t>
            </w:r>
          </w:p>
        </w:tc>
        <w:tc>
          <w:tcPr>
            <w:tcW w:w="663" w:type="pct"/>
            <w:vAlign w:val="center"/>
          </w:tcPr>
          <w:p>
            <w:pPr>
              <w:jc w:val="center"/>
              <w:rPr>
                <w:rFonts w:ascii="Times New Roman" w:hAnsi="Times New Roman" w:eastAsia="仿宋"/>
                <w:bCs/>
                <w:sz w:val="24"/>
              </w:rPr>
            </w:pPr>
            <w:r>
              <w:rPr>
                <w:rFonts w:ascii="Times New Roman" w:hAnsi="Times New Roman" w:eastAsia="仿宋"/>
                <w:bCs/>
                <w:sz w:val="24"/>
              </w:rPr>
              <w:t>否</w:t>
            </w:r>
          </w:p>
        </w:tc>
        <w:tc>
          <w:tcPr>
            <w:tcW w:w="764" w:type="pct"/>
            <w:vAlign w:val="center"/>
          </w:tcPr>
          <w:p>
            <w:pPr>
              <w:jc w:val="center"/>
              <w:textAlignment w:val="center"/>
              <w:rPr>
                <w:rFonts w:ascii="Times New Roman" w:hAnsi="Times New Roman" w:eastAsia="仿宋"/>
                <w:bCs/>
                <w:sz w:val="24"/>
              </w:rPr>
            </w:pPr>
            <w:r>
              <w:rPr>
                <w:rFonts w:ascii="Times New Roman" w:hAnsi="Times New Roman" w:eastAsia="仿宋"/>
                <w:color w:val="000000"/>
                <w:sz w:val="24"/>
              </w:rPr>
              <w:t xml:space="preserve">58000.00 </w:t>
            </w:r>
          </w:p>
        </w:tc>
        <w:tc>
          <w:tcPr>
            <w:tcW w:w="485" w:type="pct"/>
            <w:vAlign w:val="center"/>
          </w:tcPr>
          <w:p>
            <w:pPr>
              <w:jc w:val="center"/>
              <w:rPr>
                <w:rFonts w:ascii="Times New Roman" w:hAnsi="Times New Roman" w:eastAsia="仿宋"/>
                <w:bCs/>
                <w:sz w:val="24"/>
              </w:rPr>
            </w:pPr>
            <w:r>
              <w:rPr>
                <w:rFonts w:ascii="Times New Roman" w:hAnsi="Times New Roman" w:eastAsia="仿宋"/>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vAlign w:val="center"/>
          </w:tcPr>
          <w:p>
            <w:pPr>
              <w:jc w:val="center"/>
              <w:rPr>
                <w:rFonts w:ascii="Times New Roman" w:hAnsi="Times New Roman" w:eastAsia="仿宋"/>
                <w:bCs/>
                <w:sz w:val="24"/>
              </w:rPr>
            </w:pPr>
            <w:r>
              <w:rPr>
                <w:rFonts w:ascii="Times New Roman" w:hAnsi="Times New Roman" w:eastAsia="仿宋"/>
                <w:bCs/>
                <w:sz w:val="24"/>
              </w:rPr>
              <w:t>2</w:t>
            </w:r>
          </w:p>
        </w:tc>
        <w:tc>
          <w:tcPr>
            <w:tcW w:w="542" w:type="pct"/>
            <w:vAlign w:val="center"/>
          </w:tcPr>
          <w:p>
            <w:pPr>
              <w:jc w:val="center"/>
              <w:rPr>
                <w:rFonts w:ascii="Times New Roman" w:hAnsi="Times New Roman" w:eastAsia="仿宋"/>
                <w:bCs/>
                <w:sz w:val="24"/>
              </w:rPr>
            </w:pPr>
            <w:r>
              <w:rPr>
                <w:rFonts w:ascii="Times New Roman" w:hAnsi="Times New Roman" w:eastAsia="仿宋"/>
                <w:bCs/>
                <w:sz w:val="24"/>
              </w:rPr>
              <w:t>2019</w:t>
            </w:r>
          </w:p>
        </w:tc>
        <w:tc>
          <w:tcPr>
            <w:tcW w:w="2234" w:type="pct"/>
            <w:vAlign w:val="center"/>
          </w:tcPr>
          <w:p>
            <w:pPr>
              <w:jc w:val="center"/>
              <w:rPr>
                <w:rFonts w:ascii="Times New Roman" w:hAnsi="Times New Roman" w:eastAsia="仿宋"/>
                <w:bCs/>
                <w:sz w:val="24"/>
              </w:rPr>
            </w:pPr>
            <w:r>
              <w:rPr>
                <w:rFonts w:ascii="Times New Roman" w:hAnsi="Times New Roman" w:eastAsia="仿宋"/>
                <w:bCs/>
                <w:sz w:val="24"/>
              </w:rPr>
              <w:t>燃煤锅炉</w:t>
            </w:r>
            <w:r>
              <w:rPr>
                <w:rFonts w:hint="eastAsia" w:ascii="Times New Roman" w:hAnsi="Times New Roman" w:eastAsia="仿宋"/>
                <w:bCs/>
                <w:sz w:val="24"/>
              </w:rPr>
              <w:t>x</w:t>
            </w:r>
            <w:r>
              <w:rPr>
                <w:rFonts w:ascii="Times New Roman" w:hAnsi="Times New Roman" w:eastAsia="仿宋"/>
                <w:bCs/>
                <w:sz w:val="24"/>
              </w:rPr>
              <w:t>x台：</w:t>
            </w:r>
            <w:r>
              <w:rPr>
                <w:rFonts w:ascii="Times New Roman" w:hAnsi="Times New Roman" w:eastAsia="仿宋"/>
                <w:sz w:val="24"/>
              </w:rPr>
              <w:t>xxx、xxx、xxx</w:t>
            </w:r>
          </w:p>
        </w:tc>
        <w:tc>
          <w:tcPr>
            <w:tcW w:w="663" w:type="pct"/>
            <w:vAlign w:val="center"/>
          </w:tcPr>
          <w:p>
            <w:pPr>
              <w:jc w:val="center"/>
              <w:rPr>
                <w:rFonts w:ascii="Times New Roman" w:hAnsi="Times New Roman" w:eastAsia="仿宋"/>
                <w:bCs/>
                <w:sz w:val="24"/>
              </w:rPr>
            </w:pPr>
            <w:r>
              <w:rPr>
                <w:rFonts w:ascii="Times New Roman" w:hAnsi="Times New Roman" w:eastAsia="仿宋"/>
                <w:bCs/>
                <w:sz w:val="24"/>
              </w:rPr>
              <w:t>否</w:t>
            </w:r>
          </w:p>
        </w:tc>
        <w:tc>
          <w:tcPr>
            <w:tcW w:w="764" w:type="pct"/>
            <w:vAlign w:val="center"/>
          </w:tcPr>
          <w:p>
            <w:pPr>
              <w:jc w:val="center"/>
              <w:textAlignment w:val="center"/>
              <w:rPr>
                <w:rFonts w:ascii="Times New Roman" w:hAnsi="Times New Roman" w:eastAsia="仿宋"/>
                <w:bCs/>
                <w:sz w:val="24"/>
              </w:rPr>
            </w:pPr>
            <w:r>
              <w:rPr>
                <w:rFonts w:ascii="Times New Roman" w:hAnsi="Times New Roman" w:eastAsia="仿宋"/>
                <w:color w:val="000000"/>
                <w:sz w:val="24"/>
              </w:rPr>
              <w:t xml:space="preserve">4000.00 </w:t>
            </w:r>
          </w:p>
        </w:tc>
        <w:tc>
          <w:tcPr>
            <w:tcW w:w="485" w:type="pct"/>
            <w:vAlign w:val="center"/>
          </w:tcPr>
          <w:p>
            <w:pPr>
              <w:jc w:val="center"/>
              <w:rPr>
                <w:rFonts w:ascii="Times New Roman" w:hAnsi="Times New Roman" w:eastAsia="仿宋"/>
                <w:bCs/>
                <w:sz w:val="24"/>
              </w:rPr>
            </w:pPr>
            <w:r>
              <w:rPr>
                <w:rFonts w:ascii="Times New Roman" w:hAnsi="Times New Roman" w:eastAsia="仿宋"/>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vAlign w:val="center"/>
          </w:tcPr>
          <w:p>
            <w:pPr>
              <w:jc w:val="center"/>
              <w:rPr>
                <w:rFonts w:ascii="Times New Roman" w:hAnsi="Times New Roman" w:eastAsia="仿宋"/>
                <w:bCs/>
                <w:sz w:val="24"/>
              </w:rPr>
            </w:pPr>
            <w:r>
              <w:rPr>
                <w:rFonts w:ascii="Times New Roman" w:hAnsi="Times New Roman" w:eastAsia="仿宋"/>
                <w:bCs/>
                <w:sz w:val="24"/>
              </w:rPr>
              <w:t>3</w:t>
            </w:r>
          </w:p>
        </w:tc>
        <w:tc>
          <w:tcPr>
            <w:tcW w:w="542" w:type="pct"/>
            <w:vAlign w:val="center"/>
          </w:tcPr>
          <w:p>
            <w:pPr>
              <w:jc w:val="center"/>
              <w:rPr>
                <w:rFonts w:ascii="Times New Roman" w:hAnsi="Times New Roman" w:eastAsia="仿宋"/>
                <w:bCs/>
                <w:sz w:val="24"/>
              </w:rPr>
            </w:pPr>
            <w:r>
              <w:rPr>
                <w:rFonts w:ascii="Times New Roman" w:hAnsi="Times New Roman" w:eastAsia="仿宋"/>
                <w:bCs/>
                <w:sz w:val="24"/>
              </w:rPr>
              <w:t>2019</w:t>
            </w:r>
          </w:p>
        </w:tc>
        <w:tc>
          <w:tcPr>
            <w:tcW w:w="2234" w:type="pct"/>
            <w:vAlign w:val="center"/>
          </w:tcPr>
          <w:p>
            <w:pPr>
              <w:jc w:val="center"/>
              <w:rPr>
                <w:rFonts w:ascii="Times New Roman" w:hAnsi="Times New Roman" w:eastAsia="仿宋"/>
                <w:bCs/>
                <w:sz w:val="24"/>
              </w:rPr>
            </w:pPr>
            <w:r>
              <w:rPr>
                <w:rFonts w:ascii="Times New Roman" w:hAnsi="Times New Roman" w:eastAsia="仿宋"/>
                <w:bCs/>
                <w:sz w:val="24"/>
              </w:rPr>
              <w:t>燃油锅炉xx台：</w:t>
            </w:r>
            <w:r>
              <w:rPr>
                <w:rFonts w:ascii="Times New Roman" w:hAnsi="Times New Roman" w:eastAsia="仿宋"/>
                <w:sz w:val="24"/>
              </w:rPr>
              <w:t>xxx、xxx、xxx</w:t>
            </w:r>
          </w:p>
        </w:tc>
        <w:tc>
          <w:tcPr>
            <w:tcW w:w="663" w:type="pct"/>
            <w:vAlign w:val="center"/>
          </w:tcPr>
          <w:p>
            <w:pPr>
              <w:jc w:val="center"/>
              <w:rPr>
                <w:rFonts w:ascii="Times New Roman" w:hAnsi="Times New Roman" w:eastAsia="仿宋"/>
                <w:bCs/>
                <w:sz w:val="24"/>
              </w:rPr>
            </w:pPr>
            <w:r>
              <w:rPr>
                <w:rFonts w:ascii="Times New Roman" w:hAnsi="Times New Roman" w:eastAsia="仿宋"/>
                <w:bCs/>
                <w:sz w:val="24"/>
              </w:rPr>
              <w:t>否</w:t>
            </w:r>
          </w:p>
        </w:tc>
        <w:tc>
          <w:tcPr>
            <w:tcW w:w="764" w:type="pct"/>
            <w:vAlign w:val="center"/>
          </w:tcPr>
          <w:p>
            <w:pPr>
              <w:jc w:val="center"/>
              <w:textAlignment w:val="center"/>
              <w:rPr>
                <w:rFonts w:ascii="Times New Roman" w:hAnsi="Times New Roman" w:eastAsia="仿宋"/>
                <w:bCs/>
                <w:sz w:val="24"/>
              </w:rPr>
            </w:pPr>
            <w:r>
              <w:rPr>
                <w:rFonts w:ascii="Times New Roman" w:hAnsi="Times New Roman" w:eastAsia="仿宋"/>
                <w:color w:val="000000"/>
                <w:sz w:val="24"/>
              </w:rPr>
              <w:t>2000.00</w:t>
            </w:r>
          </w:p>
        </w:tc>
        <w:tc>
          <w:tcPr>
            <w:tcW w:w="485" w:type="pct"/>
            <w:vAlign w:val="center"/>
          </w:tcPr>
          <w:p>
            <w:pPr>
              <w:jc w:val="center"/>
              <w:rPr>
                <w:rFonts w:ascii="Times New Roman" w:hAnsi="Times New Roman" w:eastAsia="仿宋"/>
                <w:bCs/>
                <w:sz w:val="24"/>
              </w:rPr>
            </w:pPr>
            <w:r>
              <w:rPr>
                <w:rFonts w:ascii="Times New Roman" w:hAnsi="Times New Roman" w:eastAsia="仿宋"/>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vAlign w:val="center"/>
          </w:tcPr>
          <w:p>
            <w:pPr>
              <w:jc w:val="center"/>
              <w:rPr>
                <w:rFonts w:ascii="Times New Roman" w:hAnsi="Times New Roman" w:eastAsia="仿宋"/>
                <w:bCs/>
                <w:sz w:val="24"/>
              </w:rPr>
            </w:pPr>
            <w:r>
              <w:rPr>
                <w:rFonts w:ascii="Times New Roman" w:hAnsi="Times New Roman" w:eastAsia="仿宋"/>
                <w:bCs/>
                <w:sz w:val="24"/>
              </w:rPr>
              <w:t>4</w:t>
            </w:r>
          </w:p>
        </w:tc>
        <w:tc>
          <w:tcPr>
            <w:tcW w:w="542" w:type="pct"/>
            <w:vAlign w:val="center"/>
          </w:tcPr>
          <w:p>
            <w:pPr>
              <w:jc w:val="center"/>
              <w:rPr>
                <w:rFonts w:ascii="Times New Roman" w:hAnsi="Times New Roman" w:eastAsia="仿宋"/>
                <w:bCs/>
                <w:sz w:val="24"/>
              </w:rPr>
            </w:pPr>
            <w:r>
              <w:rPr>
                <w:rFonts w:ascii="Times New Roman" w:hAnsi="Times New Roman" w:eastAsia="仿宋"/>
                <w:bCs/>
                <w:sz w:val="24"/>
              </w:rPr>
              <w:t>2019</w:t>
            </w:r>
          </w:p>
        </w:tc>
        <w:tc>
          <w:tcPr>
            <w:tcW w:w="2234" w:type="pct"/>
            <w:vAlign w:val="center"/>
          </w:tcPr>
          <w:p>
            <w:pPr>
              <w:jc w:val="center"/>
              <w:rPr>
                <w:rFonts w:ascii="Times New Roman" w:hAnsi="Times New Roman" w:eastAsia="仿宋"/>
                <w:bCs/>
                <w:sz w:val="24"/>
              </w:rPr>
            </w:pPr>
            <w:r>
              <w:rPr>
                <w:rFonts w:ascii="Times New Roman" w:hAnsi="Times New Roman" w:eastAsia="仿宋"/>
                <w:bCs/>
                <w:sz w:val="24"/>
              </w:rPr>
              <w:t>电锅炉xx台：</w:t>
            </w:r>
            <w:r>
              <w:rPr>
                <w:rFonts w:ascii="Times New Roman" w:hAnsi="Times New Roman" w:eastAsia="仿宋"/>
                <w:sz w:val="24"/>
              </w:rPr>
              <w:t>xxx、xxx、xxx</w:t>
            </w:r>
          </w:p>
        </w:tc>
        <w:tc>
          <w:tcPr>
            <w:tcW w:w="663" w:type="pct"/>
            <w:vAlign w:val="center"/>
          </w:tcPr>
          <w:p>
            <w:pPr>
              <w:jc w:val="center"/>
              <w:rPr>
                <w:rFonts w:ascii="Times New Roman" w:hAnsi="Times New Roman" w:eastAsia="仿宋"/>
                <w:bCs/>
                <w:sz w:val="24"/>
              </w:rPr>
            </w:pPr>
            <w:r>
              <w:rPr>
                <w:rFonts w:ascii="Times New Roman" w:hAnsi="Times New Roman" w:eastAsia="仿宋"/>
                <w:bCs/>
                <w:sz w:val="24"/>
              </w:rPr>
              <w:t>否</w:t>
            </w:r>
          </w:p>
        </w:tc>
        <w:tc>
          <w:tcPr>
            <w:tcW w:w="764" w:type="pct"/>
            <w:vAlign w:val="center"/>
          </w:tcPr>
          <w:p>
            <w:pPr>
              <w:jc w:val="center"/>
              <w:textAlignment w:val="center"/>
              <w:rPr>
                <w:rFonts w:ascii="Times New Roman" w:hAnsi="Times New Roman" w:eastAsia="仿宋"/>
                <w:bCs/>
                <w:sz w:val="24"/>
              </w:rPr>
            </w:pPr>
            <w:r>
              <w:rPr>
                <w:rFonts w:ascii="Times New Roman" w:hAnsi="Times New Roman" w:eastAsia="仿宋"/>
                <w:color w:val="000000"/>
                <w:sz w:val="24"/>
              </w:rPr>
              <w:t>600.00</w:t>
            </w:r>
          </w:p>
        </w:tc>
        <w:tc>
          <w:tcPr>
            <w:tcW w:w="485" w:type="pct"/>
            <w:vAlign w:val="center"/>
          </w:tcPr>
          <w:p>
            <w:pPr>
              <w:jc w:val="center"/>
              <w:rPr>
                <w:rFonts w:ascii="Times New Roman" w:hAnsi="Times New Roman" w:eastAsia="仿宋"/>
                <w:bCs/>
                <w:sz w:val="24"/>
              </w:rPr>
            </w:pPr>
            <w:r>
              <w:rPr>
                <w:rFonts w:ascii="Times New Roman" w:hAnsi="Times New Roman" w:eastAsia="仿宋"/>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vAlign w:val="center"/>
          </w:tcPr>
          <w:p>
            <w:pPr>
              <w:jc w:val="center"/>
              <w:rPr>
                <w:rFonts w:ascii="Times New Roman" w:hAnsi="Times New Roman" w:eastAsia="仿宋"/>
                <w:bCs/>
                <w:sz w:val="24"/>
              </w:rPr>
            </w:pPr>
            <w:r>
              <w:rPr>
                <w:rFonts w:hint="eastAsia" w:ascii="Times New Roman" w:hAnsi="Times New Roman" w:eastAsia="仿宋"/>
                <w:bCs/>
                <w:sz w:val="24"/>
              </w:rPr>
              <w:t>5</w:t>
            </w:r>
          </w:p>
        </w:tc>
        <w:tc>
          <w:tcPr>
            <w:tcW w:w="542" w:type="pct"/>
            <w:vAlign w:val="center"/>
          </w:tcPr>
          <w:p>
            <w:pPr>
              <w:jc w:val="center"/>
              <w:rPr>
                <w:rFonts w:ascii="Times New Roman" w:hAnsi="Times New Roman" w:eastAsia="仿宋"/>
                <w:bCs/>
                <w:sz w:val="24"/>
              </w:rPr>
            </w:pPr>
            <w:r>
              <w:rPr>
                <w:rFonts w:hint="eastAsia" w:ascii="Times New Roman" w:hAnsi="Times New Roman" w:eastAsia="仿宋"/>
                <w:bCs/>
                <w:sz w:val="24"/>
              </w:rPr>
              <w:t>2019</w:t>
            </w:r>
          </w:p>
        </w:tc>
        <w:tc>
          <w:tcPr>
            <w:tcW w:w="2234" w:type="pct"/>
            <w:vAlign w:val="center"/>
          </w:tcPr>
          <w:p>
            <w:pPr>
              <w:jc w:val="center"/>
              <w:rPr>
                <w:rFonts w:ascii="Times New Roman" w:hAnsi="Times New Roman" w:eastAsia="仿宋"/>
                <w:bCs/>
                <w:sz w:val="24"/>
              </w:rPr>
            </w:pPr>
            <w:r>
              <w:rPr>
                <w:rFonts w:hint="eastAsia" w:ascii="Times New Roman" w:hAnsi="Times New Roman" w:eastAsia="仿宋"/>
                <w:bCs/>
                <w:sz w:val="24"/>
              </w:rPr>
              <w:t>热力站：xx座</w:t>
            </w:r>
          </w:p>
        </w:tc>
        <w:tc>
          <w:tcPr>
            <w:tcW w:w="663" w:type="pct"/>
            <w:vAlign w:val="center"/>
          </w:tcPr>
          <w:p>
            <w:pPr>
              <w:jc w:val="center"/>
              <w:rPr>
                <w:rFonts w:ascii="Times New Roman" w:hAnsi="Times New Roman" w:eastAsia="仿宋"/>
                <w:bCs/>
                <w:sz w:val="24"/>
              </w:rPr>
            </w:pPr>
            <w:r>
              <w:rPr>
                <w:rFonts w:hint="eastAsia" w:ascii="Times New Roman" w:hAnsi="Times New Roman" w:eastAsia="仿宋"/>
                <w:bCs/>
                <w:sz w:val="24"/>
              </w:rPr>
              <w:t>否</w:t>
            </w:r>
          </w:p>
        </w:tc>
        <w:tc>
          <w:tcPr>
            <w:tcW w:w="764" w:type="pct"/>
            <w:vAlign w:val="center"/>
          </w:tcPr>
          <w:p>
            <w:pPr>
              <w:jc w:val="center"/>
              <w:textAlignment w:val="center"/>
              <w:rPr>
                <w:rFonts w:ascii="Times New Roman" w:hAnsi="Times New Roman" w:eastAsia="仿宋"/>
                <w:color w:val="000000"/>
                <w:sz w:val="24"/>
              </w:rPr>
            </w:pPr>
            <w:r>
              <w:rPr>
                <w:rFonts w:hint="eastAsia" w:ascii="Times New Roman" w:hAnsi="Times New Roman" w:eastAsia="仿宋"/>
                <w:color w:val="000000"/>
                <w:sz w:val="24"/>
              </w:rPr>
              <w:t>3000.00</w:t>
            </w:r>
          </w:p>
        </w:tc>
        <w:tc>
          <w:tcPr>
            <w:tcW w:w="485" w:type="pct"/>
            <w:vAlign w:val="center"/>
          </w:tcPr>
          <w:p>
            <w:pPr>
              <w:jc w:val="center"/>
              <w:rPr>
                <w:rFonts w:ascii="Times New Roman" w:hAnsi="Times New Roman"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vAlign w:val="center"/>
          </w:tcPr>
          <w:p>
            <w:pPr>
              <w:jc w:val="center"/>
              <w:rPr>
                <w:rFonts w:ascii="Times New Roman" w:hAnsi="Times New Roman" w:eastAsia="仿宋"/>
                <w:bCs/>
                <w:sz w:val="24"/>
              </w:rPr>
            </w:pPr>
            <w:r>
              <w:rPr>
                <w:rFonts w:hint="eastAsia" w:ascii="Times New Roman" w:hAnsi="Times New Roman" w:eastAsia="仿宋"/>
                <w:bCs/>
                <w:sz w:val="24"/>
              </w:rPr>
              <w:t>6</w:t>
            </w:r>
          </w:p>
        </w:tc>
        <w:tc>
          <w:tcPr>
            <w:tcW w:w="542" w:type="pct"/>
            <w:vAlign w:val="center"/>
          </w:tcPr>
          <w:p>
            <w:pPr>
              <w:jc w:val="center"/>
              <w:rPr>
                <w:rFonts w:ascii="Times New Roman" w:hAnsi="Times New Roman" w:eastAsia="仿宋"/>
                <w:bCs/>
                <w:sz w:val="24"/>
              </w:rPr>
            </w:pPr>
            <w:r>
              <w:rPr>
                <w:rFonts w:hint="eastAsia" w:ascii="Times New Roman" w:hAnsi="Times New Roman" w:eastAsia="仿宋"/>
                <w:bCs/>
                <w:sz w:val="24"/>
              </w:rPr>
              <w:t>2</w:t>
            </w:r>
            <w:r>
              <w:rPr>
                <w:rFonts w:ascii="Times New Roman" w:hAnsi="Times New Roman" w:eastAsia="仿宋"/>
                <w:bCs/>
                <w:sz w:val="24"/>
              </w:rPr>
              <w:t>020</w:t>
            </w:r>
          </w:p>
        </w:tc>
        <w:tc>
          <w:tcPr>
            <w:tcW w:w="2234" w:type="pct"/>
            <w:vAlign w:val="center"/>
          </w:tcPr>
          <w:p>
            <w:pPr>
              <w:jc w:val="center"/>
              <w:rPr>
                <w:rFonts w:ascii="Times New Roman" w:hAnsi="Times New Roman" w:eastAsia="仿宋"/>
                <w:bCs/>
                <w:sz w:val="24"/>
              </w:rPr>
            </w:pPr>
            <w:r>
              <w:rPr>
                <w:rFonts w:hint="eastAsia" w:ascii="Times New Roman" w:hAnsi="Times New Roman" w:eastAsia="仿宋"/>
                <w:bCs/>
                <w:sz w:val="24"/>
              </w:rPr>
              <w:t>热力站：xx座</w:t>
            </w:r>
          </w:p>
        </w:tc>
        <w:tc>
          <w:tcPr>
            <w:tcW w:w="663" w:type="pct"/>
            <w:vAlign w:val="center"/>
          </w:tcPr>
          <w:p>
            <w:pPr>
              <w:jc w:val="center"/>
              <w:rPr>
                <w:rFonts w:ascii="Times New Roman" w:hAnsi="Times New Roman" w:eastAsia="仿宋"/>
                <w:bCs/>
                <w:sz w:val="24"/>
              </w:rPr>
            </w:pPr>
            <w:r>
              <w:rPr>
                <w:rFonts w:hint="eastAsia" w:ascii="Times New Roman" w:hAnsi="Times New Roman" w:eastAsia="仿宋"/>
                <w:bCs/>
                <w:sz w:val="24"/>
              </w:rPr>
              <w:t>否</w:t>
            </w:r>
          </w:p>
        </w:tc>
        <w:tc>
          <w:tcPr>
            <w:tcW w:w="764" w:type="pct"/>
            <w:vAlign w:val="center"/>
          </w:tcPr>
          <w:p>
            <w:pPr>
              <w:jc w:val="center"/>
              <w:textAlignment w:val="center"/>
              <w:rPr>
                <w:rFonts w:ascii="Times New Roman" w:hAnsi="Times New Roman" w:eastAsia="仿宋"/>
                <w:color w:val="000000"/>
                <w:sz w:val="24"/>
              </w:rPr>
            </w:pPr>
            <w:r>
              <w:rPr>
                <w:rFonts w:hint="eastAsia" w:ascii="Times New Roman" w:hAnsi="Times New Roman" w:eastAsia="仿宋"/>
                <w:color w:val="000000"/>
                <w:sz w:val="24"/>
              </w:rPr>
              <w:t>3000.00</w:t>
            </w:r>
          </w:p>
        </w:tc>
        <w:tc>
          <w:tcPr>
            <w:tcW w:w="485" w:type="pct"/>
            <w:vAlign w:val="center"/>
          </w:tcPr>
          <w:p>
            <w:pPr>
              <w:jc w:val="center"/>
              <w:rPr>
                <w:rFonts w:ascii="Times New Roman" w:hAnsi="Times New Roman" w:eastAsia="仿宋"/>
                <w:bCs/>
                <w:sz w:val="24"/>
              </w:rPr>
            </w:pPr>
            <w:r>
              <w:rPr>
                <w:rFonts w:ascii="Times New Roman" w:hAnsi="Times New Roman" w:eastAsia="仿宋"/>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 w:type="pct"/>
          </w:tcPr>
          <w:p>
            <w:pPr>
              <w:ind w:left="-110" w:leftChars="-50" w:right="-110" w:rightChars="-50"/>
              <w:jc w:val="center"/>
              <w:rPr>
                <w:rFonts w:ascii="Times New Roman" w:hAnsi="Times New Roman" w:eastAsia="仿宋"/>
                <w:bCs/>
                <w:sz w:val="24"/>
              </w:rPr>
            </w:pPr>
            <w:r>
              <w:rPr>
                <w:rFonts w:ascii="Times New Roman" w:hAnsi="Times New Roman" w:eastAsia="仿宋"/>
                <w:bCs/>
                <w:sz w:val="24"/>
              </w:rPr>
              <w:t>合计</w:t>
            </w:r>
          </w:p>
        </w:tc>
        <w:tc>
          <w:tcPr>
            <w:tcW w:w="542" w:type="pct"/>
          </w:tcPr>
          <w:p>
            <w:pPr>
              <w:jc w:val="center"/>
              <w:rPr>
                <w:rFonts w:ascii="Times New Roman" w:hAnsi="Times New Roman" w:eastAsia="仿宋"/>
                <w:bCs/>
                <w:sz w:val="24"/>
              </w:rPr>
            </w:pPr>
          </w:p>
        </w:tc>
        <w:tc>
          <w:tcPr>
            <w:tcW w:w="2234" w:type="pct"/>
          </w:tcPr>
          <w:p>
            <w:pPr>
              <w:jc w:val="center"/>
              <w:rPr>
                <w:rFonts w:ascii="Times New Roman" w:hAnsi="Times New Roman" w:eastAsia="仿宋"/>
                <w:bCs/>
                <w:sz w:val="24"/>
              </w:rPr>
            </w:pPr>
          </w:p>
        </w:tc>
        <w:tc>
          <w:tcPr>
            <w:tcW w:w="663" w:type="pct"/>
          </w:tcPr>
          <w:p>
            <w:pPr>
              <w:jc w:val="center"/>
              <w:rPr>
                <w:rFonts w:ascii="Times New Roman" w:hAnsi="Times New Roman" w:eastAsia="仿宋"/>
                <w:bCs/>
                <w:sz w:val="24"/>
              </w:rPr>
            </w:pPr>
          </w:p>
        </w:tc>
        <w:tc>
          <w:tcPr>
            <w:tcW w:w="764" w:type="pct"/>
          </w:tcPr>
          <w:p>
            <w:pPr>
              <w:jc w:val="center"/>
              <w:textAlignment w:val="top"/>
              <w:rPr>
                <w:rFonts w:ascii="Times New Roman" w:hAnsi="Times New Roman" w:eastAsia="仿宋"/>
                <w:bCs/>
                <w:sz w:val="24"/>
              </w:rPr>
            </w:pPr>
            <w:r>
              <w:rPr>
                <w:rFonts w:ascii="Times New Roman" w:hAnsi="Times New Roman" w:eastAsia="仿宋"/>
                <w:color w:val="000000"/>
                <w:sz w:val="24"/>
              </w:rPr>
              <w:t xml:space="preserve">70600.00 </w:t>
            </w:r>
          </w:p>
        </w:tc>
        <w:tc>
          <w:tcPr>
            <w:tcW w:w="485" w:type="pct"/>
            <w:vAlign w:val="center"/>
          </w:tcPr>
          <w:p>
            <w:pPr>
              <w:jc w:val="center"/>
              <w:rPr>
                <w:rFonts w:ascii="Times New Roman" w:hAnsi="Times New Roman" w:eastAsia="仿宋"/>
                <w:bCs/>
                <w:sz w:val="24"/>
              </w:rPr>
            </w:pPr>
            <w:r>
              <w:rPr>
                <w:rFonts w:ascii="Times New Roman" w:hAnsi="Times New Roman" w:eastAsia="仿宋"/>
                <w:bCs/>
                <w:sz w:val="24"/>
              </w:rPr>
              <w:t>/</w:t>
            </w:r>
          </w:p>
        </w:tc>
      </w:tr>
    </w:tbl>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新增设施排放量为70600.00吨，是基准年份排放量的XX%，新增燃气锅炉为直供，</w:t>
      </w:r>
      <w:r>
        <w:rPr>
          <w:rFonts w:ascii="Times New Roman" w:hAnsi="Times New Roman" w:eastAsia="仿宋"/>
          <w:sz w:val="32"/>
          <w:szCs w:val="32"/>
        </w:rPr>
        <w:t>建筑物供热量为xxxxTJ；新增燃煤锅炉为直供，建筑供热量为xxxxTJ；燃油锅炉所供的建筑供热量为xxxxTJ</w:t>
      </w:r>
      <w:r>
        <w:rPr>
          <w:rFonts w:ascii="Times New Roman" w:hAnsi="Times New Roman" w:eastAsia="仿宋_GB2312"/>
          <w:sz w:val="32"/>
          <w:szCs w:val="32"/>
        </w:rPr>
        <w:t>；</w:t>
      </w:r>
      <w:r>
        <w:rPr>
          <w:rFonts w:ascii="Times New Roman" w:hAnsi="Times New Roman" w:eastAsia="仿宋"/>
          <w:sz w:val="32"/>
          <w:szCs w:val="32"/>
        </w:rPr>
        <w:t>电锅炉所供的建筑供热量为xxxxTJ；新增设施对应的热力站一次侧输入热量为xxxxTJ。</w:t>
      </w:r>
      <w:r>
        <w:rPr>
          <w:rFonts w:ascii="Times New Roman" w:hAnsi="Times New Roman" w:eastAsia="仿宋_GB2312"/>
          <w:sz w:val="32"/>
          <w:szCs w:val="32"/>
        </w:rPr>
        <w:t>此信息供新增设施配额发放参考。</w:t>
      </w:r>
    </w:p>
    <w:p>
      <w:pPr>
        <w:spacing w:after="0" w:line="560" w:lineRule="exact"/>
        <w:ind w:firstLine="640" w:firstLineChars="200"/>
        <w:rPr>
          <w:rFonts w:ascii="Times New Roman" w:hAnsi="Times New Roman" w:eastAsia="仿宋"/>
          <w:sz w:val="32"/>
          <w:szCs w:val="32"/>
        </w:rPr>
      </w:pPr>
      <w:r>
        <w:rPr>
          <w:rFonts w:ascii="Times New Roman" w:hAnsi="Times New Roman" w:eastAsia="仿宋"/>
          <w:sz w:val="32"/>
          <w:szCs w:val="32"/>
        </w:rPr>
        <w:t>5. 核查过程未覆盖的问题描述</w:t>
      </w:r>
    </w:p>
    <w:p>
      <w:pPr>
        <w:spacing w:after="0" w:line="560" w:lineRule="exact"/>
        <w:ind w:firstLine="640" w:firstLineChars="200"/>
        <w:rPr>
          <w:rFonts w:ascii="Times New Roman" w:hAnsi="Times New Roman" w:eastAsia="仿宋"/>
          <w:sz w:val="32"/>
          <w:szCs w:val="32"/>
        </w:rPr>
      </w:pPr>
      <w:r>
        <w:rPr>
          <w:rFonts w:ascii="Times New Roman" w:hAnsi="Times New Roman" w:eastAsia="仿宋"/>
          <w:sz w:val="32"/>
          <w:szCs w:val="32"/>
        </w:rPr>
        <w:t>由于天然气表和电表分别为燃气公司及电力公司管控，因此未能核查这些仪表的检定信息。</w:t>
      </w:r>
    </w:p>
    <w:p>
      <w:pPr>
        <w:rPr>
          <w:rFonts w:ascii="Times New Roman" w:hAnsi="Times New Roman"/>
        </w:rPr>
      </w:pPr>
      <w:r>
        <w:rPr>
          <w:rFonts w:ascii="Times New Roman" w:hAnsi="Times New Roman"/>
        </w:rPr>
        <w:br w:type="page"/>
      </w:r>
    </w:p>
    <w:p>
      <w:pPr>
        <w:pStyle w:val="4"/>
        <w:spacing w:before="0" w:after="0" w:line="56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电力生产企业</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
          <w:sz w:val="32"/>
          <w:szCs w:val="32"/>
        </w:rPr>
        <w:t>xxxx公司（以下简称排放单位）委托xxx公司开展XXXX年</w:t>
      </w:r>
      <w:r>
        <w:rPr>
          <w:rFonts w:ascii="Times New Roman" w:hAnsi="Times New Roman" w:eastAsia="仿宋_GB2312"/>
          <w:sz w:val="32"/>
          <w:szCs w:val="32"/>
        </w:rPr>
        <w:t>二氧化碳排放的核查工作。核查范围包括排放单位所有在北京市辖区内的固定设施导致的二氧化碳直接排放和二氧化碳间接排放。</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通过文件评审、现场访问、核查报告编写及内部技术复核，核查组对排放单位XXXX年度二氧化碳排放报告形成如下核查结论：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 核算、报告与方法学的符合性</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核查组确认所有不符合已全部关闭，排放单位的核算与报告均符合方法学</w:t>
      </w:r>
      <w:r>
        <w:rPr>
          <w:rFonts w:hint="eastAsia" w:ascii="Times New Roman" w:hAnsi="Times New Roman" w:eastAsia="仿宋_GB2312"/>
          <w:sz w:val="32"/>
          <w:szCs w:val="32"/>
        </w:rPr>
        <w:t>《二氧化碳排放核算和报告要求电力生产业》（DB11/T 1781-2020）</w:t>
      </w:r>
      <w:r>
        <w:rPr>
          <w:rFonts w:ascii="Times New Roman" w:hAnsi="Times New Roman" w:eastAsia="仿宋_GB2312"/>
          <w:sz w:val="32"/>
          <w:szCs w:val="32"/>
        </w:rPr>
        <w:t>的要求，核查组对本排放报告出具肯定的核查结论。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 本年度排放量及活动水平数据的声明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经核查的直接和间接排放量与最终排放报告中的数据一致。经核查的直接排放量为2799714.26吨，间接排放量为3888.38吨，总排放量为2803602.64吨。</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经核查的供电量、供热量与最终排放报告中数据一致。经核查的一期1#机组供电量为xxxMWh，供热量为xxxxTJ，供热比为xxx；二期2#机组供电量为xxxMWh，供热量为xxxxTJ，供热比为xxx；三期二拖一（</w:t>
      </w: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5</w:t>
      </w:r>
      <w:r>
        <w:rPr>
          <w:rFonts w:ascii="Times New Roman" w:hAnsi="Times New Roman" w:eastAsia="仿宋_GB2312"/>
          <w:sz w:val="32"/>
          <w:szCs w:val="32"/>
        </w:rPr>
        <w:t>#）机组供电量为xxxMWh，供热量为xxxxTJ，供热比为xxx</w:t>
      </w:r>
      <w:r>
        <w:rPr>
          <w:rFonts w:hint="eastAsia" w:ascii="Times New Roman" w:hAnsi="Times New Roman" w:eastAsia="仿宋_GB2312"/>
          <w:sz w:val="32"/>
          <w:szCs w:val="32"/>
        </w:rPr>
        <w:t>；</w:t>
      </w:r>
      <w:r>
        <w:rPr>
          <w:rFonts w:ascii="Times New Roman" w:hAnsi="Times New Roman" w:eastAsia="仿宋_GB2312"/>
          <w:sz w:val="32"/>
          <w:szCs w:val="32"/>
        </w:rPr>
        <w:t>燃气热水炉供热量为xxxxTJ。</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3. 年度排放量及活动水平波动的原因说明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与上年度排放量相比增加242659.68吨/9.48%，其中直接排放相比上年度增加242159.68吨/9.47%，间接排放相比上一年度增加500.00吨/14.76%。由于电网调控原因，供电量大幅上升，相比上一年度上升40.00%，其中一期燃机供电量增加，二期燃机供电量下降，三期燃机在11月开始投入使用；同时，周边企业的热能消耗需求基本保持不变，供热量变化不大。因此主要是由于供电量上升导致碳排放量大幅增加。</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本年度排放量相比历史基准年份排放量增加242659.68吨，上升比例为9.48%，受电网调控，供电量相比基准年增加40.00%，而供热量变化幅度不大，导致排放量上升。</w:t>
      </w:r>
    </w:p>
    <w:p>
      <w:pPr>
        <w:jc w:val="center"/>
        <w:rPr>
          <w:rFonts w:ascii="Times New Roman" w:hAnsi="Times New Roman" w:eastAsia="仿宋_GB2312"/>
          <w:sz w:val="32"/>
          <w:szCs w:val="32"/>
        </w:rPr>
      </w:pPr>
      <w:r>
        <w:rPr>
          <w:rFonts w:ascii="Times New Roman" w:hAnsi="Times New Roman" w:eastAsia="仿宋_GB2312"/>
          <w:sz w:val="24"/>
        </w:rPr>
        <w:t>表XX  排放量汇总表</w:t>
      </w:r>
    </w:p>
    <w:tbl>
      <w:tblPr>
        <w:tblStyle w:val="35"/>
        <w:tblW w:w="7917" w:type="dxa"/>
        <w:tblInd w:w="108" w:type="dxa"/>
        <w:tblLayout w:type="fixed"/>
        <w:tblCellMar>
          <w:top w:w="0" w:type="dxa"/>
          <w:left w:w="108" w:type="dxa"/>
          <w:bottom w:w="0" w:type="dxa"/>
          <w:right w:w="108" w:type="dxa"/>
        </w:tblCellMar>
      </w:tblPr>
      <w:tblGrid>
        <w:gridCol w:w="1260"/>
        <w:gridCol w:w="2144"/>
        <w:gridCol w:w="2243"/>
        <w:gridCol w:w="2270"/>
      </w:tblGrid>
      <w:tr>
        <w:tblPrEx>
          <w:tblCellMar>
            <w:top w:w="0" w:type="dxa"/>
            <w:left w:w="108" w:type="dxa"/>
            <w:bottom w:w="0" w:type="dxa"/>
            <w:right w:w="108" w:type="dxa"/>
          </w:tblCellMar>
        </w:tblPrEx>
        <w:trPr>
          <w:trHeight w:val="1028" w:hRule="atLeast"/>
        </w:trPr>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年度</w:t>
            </w:r>
          </w:p>
        </w:tc>
        <w:tc>
          <w:tcPr>
            <w:tcW w:w="2144"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43"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7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排放总量（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r>
      <w:tr>
        <w:tblPrEx>
          <w:tblCellMar>
            <w:top w:w="0" w:type="dxa"/>
            <w:left w:w="108" w:type="dxa"/>
            <w:bottom w:w="0" w:type="dxa"/>
            <w:right w:w="108" w:type="dxa"/>
          </w:tblCellMar>
        </w:tblPrEx>
        <w:trPr>
          <w:trHeight w:val="547" w:hRule="atLeast"/>
        </w:trPr>
        <w:tc>
          <w:tcPr>
            <w:tcW w:w="1260"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2016</w:t>
            </w:r>
          </w:p>
        </w:tc>
        <w:tc>
          <w:tcPr>
            <w:tcW w:w="2144" w:type="dxa"/>
            <w:tcBorders>
              <w:top w:val="nil"/>
              <w:left w:val="nil"/>
              <w:bottom w:val="single" w:color="auto" w:sz="4" w:space="0"/>
              <w:right w:val="single" w:color="auto" w:sz="4" w:space="0"/>
            </w:tcBorders>
            <w:noWrap/>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1571714.26</w:t>
            </w:r>
          </w:p>
        </w:tc>
        <w:tc>
          <w:tcPr>
            <w:tcW w:w="2243" w:type="dxa"/>
            <w:tcBorders>
              <w:top w:val="nil"/>
              <w:left w:val="nil"/>
              <w:bottom w:val="single" w:color="auto" w:sz="4" w:space="0"/>
              <w:right w:val="single" w:color="auto" w:sz="4" w:space="0"/>
            </w:tcBorders>
            <w:noWrap/>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2688.38</w:t>
            </w:r>
          </w:p>
        </w:tc>
        <w:tc>
          <w:tcPr>
            <w:tcW w:w="2270" w:type="dxa"/>
            <w:tcBorders>
              <w:top w:val="nil"/>
              <w:left w:val="nil"/>
              <w:bottom w:val="single" w:color="auto" w:sz="4" w:space="0"/>
              <w:right w:val="single" w:color="auto" w:sz="4" w:space="0"/>
            </w:tcBorders>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1574402.64</w:t>
            </w:r>
          </w:p>
        </w:tc>
      </w:tr>
      <w:tr>
        <w:tblPrEx>
          <w:tblCellMar>
            <w:top w:w="0" w:type="dxa"/>
            <w:left w:w="108" w:type="dxa"/>
            <w:bottom w:w="0" w:type="dxa"/>
            <w:right w:w="108" w:type="dxa"/>
          </w:tblCellMar>
        </w:tblPrEx>
        <w:trPr>
          <w:trHeight w:val="347" w:hRule="atLeast"/>
        </w:trPr>
        <w:tc>
          <w:tcPr>
            <w:tcW w:w="1260"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2017</w:t>
            </w:r>
          </w:p>
        </w:tc>
        <w:tc>
          <w:tcPr>
            <w:tcW w:w="2144" w:type="dxa"/>
            <w:tcBorders>
              <w:top w:val="nil"/>
              <w:left w:val="nil"/>
              <w:bottom w:val="single" w:color="auto" w:sz="4" w:space="0"/>
              <w:right w:val="single" w:color="auto" w:sz="4" w:space="0"/>
            </w:tcBorders>
            <w:noWrap/>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1619714.26</w:t>
            </w:r>
          </w:p>
        </w:tc>
        <w:tc>
          <w:tcPr>
            <w:tcW w:w="2243" w:type="dxa"/>
            <w:tcBorders>
              <w:top w:val="nil"/>
              <w:left w:val="nil"/>
              <w:bottom w:val="single" w:color="auto" w:sz="4" w:space="0"/>
              <w:right w:val="single" w:color="auto" w:sz="4" w:space="0"/>
            </w:tcBorders>
            <w:noWrap/>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2988.38</w:t>
            </w:r>
          </w:p>
        </w:tc>
        <w:tc>
          <w:tcPr>
            <w:tcW w:w="2270" w:type="dxa"/>
            <w:tcBorders>
              <w:top w:val="nil"/>
              <w:left w:val="nil"/>
              <w:bottom w:val="single" w:color="auto" w:sz="4" w:space="0"/>
              <w:right w:val="single" w:color="auto" w:sz="4" w:space="0"/>
            </w:tcBorders>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1622702.64</w:t>
            </w:r>
          </w:p>
        </w:tc>
      </w:tr>
      <w:tr>
        <w:trPr>
          <w:trHeight w:val="347" w:hRule="atLeast"/>
        </w:trPr>
        <w:tc>
          <w:tcPr>
            <w:tcW w:w="1260"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2018</w:t>
            </w:r>
          </w:p>
        </w:tc>
        <w:tc>
          <w:tcPr>
            <w:tcW w:w="2144" w:type="dxa"/>
            <w:tcBorders>
              <w:top w:val="nil"/>
              <w:left w:val="nil"/>
              <w:bottom w:val="single" w:color="auto" w:sz="4" w:space="0"/>
              <w:right w:val="single" w:color="auto" w:sz="4" w:space="0"/>
            </w:tcBorders>
            <w:noWrap/>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2557554.58</w:t>
            </w:r>
          </w:p>
        </w:tc>
        <w:tc>
          <w:tcPr>
            <w:tcW w:w="2243" w:type="dxa"/>
            <w:tcBorders>
              <w:top w:val="nil"/>
              <w:left w:val="nil"/>
              <w:bottom w:val="single" w:color="auto" w:sz="4" w:space="0"/>
              <w:right w:val="single" w:color="auto" w:sz="4" w:space="0"/>
            </w:tcBorders>
            <w:noWrap/>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3388.38</w:t>
            </w:r>
          </w:p>
        </w:tc>
        <w:tc>
          <w:tcPr>
            <w:tcW w:w="2270" w:type="dxa"/>
            <w:tcBorders>
              <w:top w:val="nil"/>
              <w:left w:val="nil"/>
              <w:bottom w:val="single" w:color="auto" w:sz="4" w:space="0"/>
              <w:right w:val="single" w:color="auto" w:sz="4" w:space="0"/>
            </w:tcBorders>
            <w:vAlign w:val="center"/>
          </w:tcPr>
          <w:p>
            <w:pPr>
              <w:jc w:val="center"/>
              <w:textAlignment w:val="center"/>
              <w:rPr>
                <w:rFonts w:ascii="Times New Roman" w:hAnsi="Times New Roman"/>
                <w:color w:val="000000"/>
                <w:sz w:val="24"/>
              </w:rPr>
            </w:pPr>
            <w:r>
              <w:rPr>
                <w:rFonts w:ascii="Times New Roman" w:hAnsi="Times New Roman" w:eastAsia="仿宋_GB2312"/>
                <w:color w:val="000000"/>
                <w:sz w:val="24"/>
              </w:rPr>
              <w:t>2560942.96</w:t>
            </w:r>
          </w:p>
        </w:tc>
      </w:tr>
      <w:tr>
        <w:trPr>
          <w:trHeight w:val="347" w:hRule="atLeast"/>
        </w:trPr>
        <w:tc>
          <w:tcPr>
            <w:tcW w:w="126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2019</w:t>
            </w:r>
          </w:p>
        </w:tc>
        <w:tc>
          <w:tcPr>
            <w:tcW w:w="2144" w:type="dxa"/>
            <w:tcBorders>
              <w:top w:val="single" w:color="auto" w:sz="4" w:space="0"/>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2799714.26</w:t>
            </w:r>
          </w:p>
        </w:tc>
        <w:tc>
          <w:tcPr>
            <w:tcW w:w="2243" w:type="dxa"/>
            <w:tcBorders>
              <w:top w:val="single" w:color="auto" w:sz="4" w:space="0"/>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3888.38</w:t>
            </w:r>
          </w:p>
        </w:tc>
        <w:tc>
          <w:tcPr>
            <w:tcW w:w="2270" w:type="dxa"/>
            <w:tcBorders>
              <w:top w:val="single" w:color="auto" w:sz="4" w:space="0"/>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2803602.64</w:t>
            </w:r>
          </w:p>
        </w:tc>
      </w:tr>
      <w:tr>
        <w:trPr>
          <w:trHeight w:val="347" w:hRule="atLeast"/>
        </w:trPr>
        <w:tc>
          <w:tcPr>
            <w:tcW w:w="1260"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2</w:t>
            </w:r>
            <w:r>
              <w:rPr>
                <w:rFonts w:ascii="Times New Roman" w:hAnsi="Times New Roman" w:eastAsia="仿宋_GB2312"/>
                <w:color w:val="000000"/>
                <w:sz w:val="24"/>
              </w:rPr>
              <w:t>020</w:t>
            </w:r>
          </w:p>
        </w:tc>
        <w:tc>
          <w:tcPr>
            <w:tcW w:w="2144" w:type="dxa"/>
            <w:tcBorders>
              <w:top w:val="single" w:color="auto" w:sz="4" w:space="0"/>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2799714.26</w:t>
            </w:r>
          </w:p>
        </w:tc>
        <w:tc>
          <w:tcPr>
            <w:tcW w:w="2243" w:type="dxa"/>
            <w:tcBorders>
              <w:top w:val="single" w:color="auto" w:sz="4" w:space="0"/>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3888.38</w:t>
            </w:r>
          </w:p>
        </w:tc>
        <w:tc>
          <w:tcPr>
            <w:tcW w:w="2270" w:type="dxa"/>
            <w:tcBorders>
              <w:top w:val="single" w:color="auto" w:sz="4" w:space="0"/>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2803602.64</w:t>
            </w:r>
          </w:p>
        </w:tc>
      </w:tr>
    </w:tbl>
    <w:p>
      <w:pPr>
        <w:ind w:firstLine="440" w:firstLineChars="200"/>
        <w:jc w:val="center"/>
        <w:rPr>
          <w:rFonts w:ascii="Times New Roman" w:hAnsi="Times New Roman"/>
        </w:rPr>
      </w:pPr>
      <w:r>
        <w:rPr>
          <w:lang w:val="en-US"/>
        </w:rPr>
        <w:drawing>
          <wp:inline distT="0" distB="0" distL="0" distR="0">
            <wp:extent cx="4568825" cy="2740025"/>
            <wp:effectExtent l="0" t="0" r="3175" b="3175"/>
            <wp:docPr id="8" name="图表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pPr>
        <w:spacing w:after="0" w:line="560" w:lineRule="exact"/>
        <w:jc w:val="center"/>
        <w:rPr>
          <w:rFonts w:ascii="Times New Roman" w:hAnsi="Times New Roman" w:eastAsia="仿宋_GB2312"/>
          <w:sz w:val="24"/>
        </w:rPr>
      </w:pPr>
      <w:r>
        <w:rPr>
          <w:rFonts w:ascii="Times New Roman" w:hAnsi="Times New Roman" w:eastAsia="仿宋_GB2312"/>
          <w:sz w:val="24"/>
        </w:rPr>
        <w:t>图xx  排放量变化趋势图（增加</w:t>
      </w:r>
      <w:r>
        <w:rPr>
          <w:rFonts w:hint="eastAsia" w:ascii="Times New Roman" w:hAnsi="Times New Roman" w:eastAsia="仿宋_GB2312"/>
          <w:sz w:val="24"/>
        </w:rPr>
        <w:t>2</w:t>
      </w:r>
      <w:r>
        <w:rPr>
          <w:rFonts w:ascii="Times New Roman" w:hAnsi="Times New Roman" w:eastAsia="仿宋_GB2312"/>
          <w:sz w:val="24"/>
        </w:rPr>
        <w:t>020年度）</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4.核算和报告边界及变化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4.1 本年度场所边界的变化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排放单位核算和报告边界为位于xxx的生产厂区，</w:t>
      </w:r>
      <w:r>
        <w:rPr>
          <w:rFonts w:hint="eastAsia" w:ascii="Times New Roman" w:hAnsi="Times New Roman" w:eastAsia="仿宋_GB2312"/>
          <w:sz w:val="32"/>
          <w:szCs w:val="32"/>
        </w:rPr>
        <w:t>包含一期的xxMW1#燃气机组、二期xxMW2#燃气机组，三期二拖一3#-5#燃机机组，以及xxMW燃气热水炉。</w:t>
      </w:r>
      <w:r>
        <w:rPr>
          <w:rFonts w:ascii="Times New Roman" w:hAnsi="Times New Roman" w:eastAsia="仿宋_GB2312"/>
          <w:sz w:val="32"/>
          <w:szCs w:val="32"/>
        </w:rPr>
        <w:t>与上年度相比，场所边界无变化；与基准年相比，场所边界无变化。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4.2 本年度排放设施的变化</w:t>
      </w:r>
    </w:p>
    <w:p>
      <w:pPr>
        <w:spacing w:after="0" w:line="560" w:lineRule="exact"/>
        <w:ind w:firstLine="640" w:firstLineChars="200"/>
        <w:jc w:val="both"/>
        <w:rPr>
          <w:rFonts w:ascii="Times New Roman" w:hAnsi="Times New Roman" w:eastAsia="仿宋"/>
          <w:sz w:val="32"/>
          <w:szCs w:val="32"/>
        </w:rPr>
      </w:pPr>
      <w:r>
        <w:rPr>
          <w:rFonts w:ascii="Times New Roman" w:hAnsi="Times New Roman" w:eastAsia="仿宋"/>
          <w:sz w:val="32"/>
          <w:szCs w:val="32"/>
        </w:rPr>
        <w:t>排放单位不涉及既有设施配额调整。</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排放单位无既有设施退出。</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排放单位新增设施主要包括燃气机组及热水锅炉，均未替代既有设施。新增设施及其排放量信息如下：</w:t>
      </w:r>
    </w:p>
    <w:p>
      <w:pPr>
        <w:spacing w:after="0" w:line="560" w:lineRule="exact"/>
        <w:jc w:val="center"/>
        <w:rPr>
          <w:rFonts w:ascii="Times New Roman" w:hAnsi="Times New Roman" w:eastAsia="仿宋_GB2312"/>
          <w:sz w:val="24"/>
        </w:rPr>
      </w:pPr>
      <w:r>
        <w:rPr>
          <w:rFonts w:ascii="Times New Roman" w:hAnsi="Times New Roman" w:eastAsia="仿宋_GB2312"/>
          <w:sz w:val="24"/>
        </w:rPr>
        <w:t>表XX  新增设施信息表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293"/>
        <w:gridCol w:w="1773"/>
        <w:gridCol w:w="1663"/>
        <w:gridCol w:w="1663"/>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714"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设施新增年份</w:t>
            </w:r>
          </w:p>
        </w:tc>
        <w:tc>
          <w:tcPr>
            <w:tcW w:w="979"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新增设施类型/名称</w:t>
            </w:r>
          </w:p>
        </w:tc>
        <w:tc>
          <w:tcPr>
            <w:tcW w:w="918"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是否替代既有设施，被替代既有设施类型</w:t>
            </w:r>
          </w:p>
        </w:tc>
        <w:tc>
          <w:tcPr>
            <w:tcW w:w="918"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新增设施排放量（吨）</w:t>
            </w:r>
          </w:p>
        </w:tc>
        <w:tc>
          <w:tcPr>
            <w:tcW w:w="918" w:type="pct"/>
            <w:vAlign w:val="center"/>
          </w:tcPr>
          <w:p>
            <w:pPr>
              <w:tabs>
                <w:tab w:val="left" w:pos="1701"/>
              </w:tabs>
              <w:jc w:val="center"/>
              <w:rPr>
                <w:rFonts w:ascii="Times New Roman" w:hAnsi="Times New Roman" w:eastAsia="仿宋_GB2312"/>
                <w:color w:val="000000"/>
                <w:sz w:val="24"/>
              </w:rPr>
            </w:pPr>
            <w:r>
              <w:rPr>
                <w:rFonts w:hint="eastAsia" w:ascii="Times New Roman" w:hAnsi="Times New Roman" w:eastAsia="仿宋_GB2312"/>
                <w:color w:val="000000"/>
                <w:sz w:val="24"/>
              </w:rPr>
              <w:t>替代既有设施的新增排放量(吨)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pct"/>
          </w:tcPr>
          <w:p>
            <w:pPr>
              <w:jc w:val="center"/>
              <w:rPr>
                <w:rFonts w:ascii="Times New Roman" w:hAnsi="Times New Roman" w:eastAsia="仿宋_GB2312"/>
                <w:sz w:val="24"/>
              </w:rPr>
            </w:pPr>
            <w:r>
              <w:rPr>
                <w:rFonts w:ascii="Times New Roman" w:hAnsi="Times New Roman" w:eastAsia="仿宋_GB2312"/>
                <w:color w:val="000000"/>
                <w:sz w:val="24"/>
              </w:rPr>
              <w:t>1</w:t>
            </w:r>
          </w:p>
        </w:tc>
        <w:tc>
          <w:tcPr>
            <w:tcW w:w="714" w:type="pct"/>
          </w:tcPr>
          <w:p>
            <w:pPr>
              <w:jc w:val="center"/>
              <w:rPr>
                <w:rFonts w:ascii="Times New Roman" w:hAnsi="Times New Roman" w:eastAsia="仿宋_GB2312"/>
                <w:sz w:val="24"/>
              </w:rPr>
            </w:pPr>
            <w:r>
              <w:rPr>
                <w:rFonts w:ascii="Times New Roman" w:hAnsi="Times New Roman" w:eastAsia="仿宋_GB2312"/>
                <w:sz w:val="24"/>
              </w:rPr>
              <w:t>2019</w:t>
            </w:r>
          </w:p>
        </w:tc>
        <w:tc>
          <w:tcPr>
            <w:tcW w:w="979" w:type="pct"/>
          </w:tcPr>
          <w:p>
            <w:pPr>
              <w:jc w:val="center"/>
              <w:rPr>
                <w:rFonts w:ascii="Times New Roman" w:hAnsi="Times New Roman" w:eastAsia="仿宋_GB2312"/>
                <w:sz w:val="24"/>
              </w:rPr>
            </w:pPr>
            <w:r>
              <w:rPr>
                <w:rFonts w:hint="eastAsia" w:ascii="Times New Roman" w:hAnsi="Times New Roman" w:eastAsia="仿宋_GB2312"/>
                <w:sz w:val="24"/>
              </w:rPr>
              <w:t>二拖一燃气机组（3#-5#）</w:t>
            </w:r>
          </w:p>
        </w:tc>
        <w:tc>
          <w:tcPr>
            <w:tcW w:w="918" w:type="pct"/>
          </w:tcPr>
          <w:p>
            <w:pPr>
              <w:jc w:val="center"/>
              <w:rPr>
                <w:rFonts w:ascii="Times New Roman" w:hAnsi="Times New Roman" w:eastAsia="仿宋_GB2312"/>
                <w:sz w:val="24"/>
              </w:rPr>
            </w:pPr>
            <w:r>
              <w:rPr>
                <w:rFonts w:ascii="Times New Roman" w:hAnsi="Times New Roman" w:eastAsia="仿宋_GB2312"/>
                <w:sz w:val="24"/>
              </w:rPr>
              <w:t>否</w:t>
            </w:r>
          </w:p>
        </w:tc>
        <w:tc>
          <w:tcPr>
            <w:tcW w:w="918" w:type="pct"/>
          </w:tcPr>
          <w:p>
            <w:pPr>
              <w:jc w:val="center"/>
              <w:textAlignment w:val="top"/>
              <w:rPr>
                <w:rFonts w:ascii="Times New Roman" w:hAnsi="Times New Roman" w:eastAsia="仿宋_GB2312"/>
                <w:sz w:val="24"/>
              </w:rPr>
            </w:pPr>
            <w:r>
              <w:rPr>
                <w:rFonts w:ascii="Times New Roman" w:hAnsi="Times New Roman" w:eastAsia="仿宋_GB2312"/>
                <w:color w:val="000000"/>
                <w:sz w:val="24"/>
              </w:rPr>
              <w:t xml:space="preserve">118000.00 </w:t>
            </w:r>
          </w:p>
        </w:tc>
        <w:tc>
          <w:tcPr>
            <w:tcW w:w="918" w:type="pct"/>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pct"/>
          </w:tcPr>
          <w:p>
            <w:pPr>
              <w:jc w:val="center"/>
              <w:rPr>
                <w:rFonts w:ascii="Times New Roman" w:hAnsi="Times New Roman" w:eastAsia="仿宋_GB2312"/>
                <w:color w:val="000000"/>
                <w:sz w:val="24"/>
              </w:rPr>
            </w:pPr>
            <w:r>
              <w:rPr>
                <w:rFonts w:ascii="Times New Roman" w:hAnsi="Times New Roman" w:eastAsia="仿宋_GB2312"/>
                <w:color w:val="000000"/>
                <w:sz w:val="24"/>
              </w:rPr>
              <w:t>2</w:t>
            </w:r>
          </w:p>
        </w:tc>
        <w:tc>
          <w:tcPr>
            <w:tcW w:w="714" w:type="pct"/>
          </w:tcPr>
          <w:p>
            <w:pPr>
              <w:jc w:val="center"/>
              <w:rPr>
                <w:rFonts w:ascii="Times New Roman" w:hAnsi="Times New Roman" w:eastAsia="仿宋_GB2312"/>
                <w:sz w:val="24"/>
              </w:rPr>
            </w:pPr>
            <w:r>
              <w:rPr>
                <w:rFonts w:ascii="Times New Roman" w:hAnsi="Times New Roman" w:eastAsia="仿宋_GB2312"/>
                <w:sz w:val="24"/>
              </w:rPr>
              <w:t>2019</w:t>
            </w:r>
          </w:p>
        </w:tc>
        <w:tc>
          <w:tcPr>
            <w:tcW w:w="979" w:type="pct"/>
          </w:tcPr>
          <w:p>
            <w:pPr>
              <w:jc w:val="center"/>
              <w:rPr>
                <w:rFonts w:ascii="Times New Roman" w:hAnsi="Times New Roman" w:eastAsia="仿宋_GB2312"/>
                <w:sz w:val="24"/>
              </w:rPr>
            </w:pPr>
            <w:r>
              <w:rPr>
                <w:rFonts w:hint="eastAsia" w:ascii="Times New Roman" w:hAnsi="Times New Roman" w:eastAsia="仿宋_GB2312"/>
                <w:sz w:val="24"/>
              </w:rPr>
              <w:t>燃气热水锅炉</w:t>
            </w:r>
          </w:p>
        </w:tc>
        <w:tc>
          <w:tcPr>
            <w:tcW w:w="918" w:type="pct"/>
          </w:tcPr>
          <w:p>
            <w:pPr>
              <w:jc w:val="center"/>
              <w:rPr>
                <w:rFonts w:ascii="Times New Roman" w:hAnsi="Times New Roman" w:eastAsia="仿宋_GB2312"/>
                <w:sz w:val="24"/>
              </w:rPr>
            </w:pPr>
            <w:r>
              <w:rPr>
                <w:rFonts w:ascii="Times New Roman" w:hAnsi="Times New Roman" w:eastAsia="仿宋_GB2312"/>
                <w:sz w:val="24"/>
              </w:rPr>
              <w:t>否</w:t>
            </w:r>
          </w:p>
        </w:tc>
        <w:tc>
          <w:tcPr>
            <w:tcW w:w="918" w:type="pct"/>
          </w:tcPr>
          <w:p>
            <w:pPr>
              <w:jc w:val="center"/>
              <w:textAlignment w:val="top"/>
              <w:rPr>
                <w:rFonts w:ascii="Times New Roman" w:hAnsi="Times New Roman" w:eastAsia="仿宋_GB2312"/>
                <w:sz w:val="24"/>
              </w:rPr>
            </w:pPr>
            <w:r>
              <w:rPr>
                <w:rFonts w:ascii="Times New Roman" w:hAnsi="Times New Roman" w:eastAsia="仿宋_GB2312"/>
                <w:color w:val="000000"/>
                <w:sz w:val="24"/>
              </w:rPr>
              <w:t xml:space="preserve">60000.00 </w:t>
            </w:r>
          </w:p>
        </w:tc>
        <w:tc>
          <w:tcPr>
            <w:tcW w:w="918" w:type="pct"/>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pct"/>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3</w:t>
            </w:r>
          </w:p>
        </w:tc>
        <w:tc>
          <w:tcPr>
            <w:tcW w:w="714" w:type="pct"/>
          </w:tcPr>
          <w:p>
            <w:pPr>
              <w:jc w:val="center"/>
              <w:rPr>
                <w:rFonts w:ascii="Times New Roman" w:hAnsi="Times New Roman" w:eastAsia="仿宋_GB2312"/>
                <w:sz w:val="24"/>
              </w:rPr>
            </w:pPr>
            <w:r>
              <w:rPr>
                <w:rFonts w:hint="eastAsia" w:ascii="Times New Roman" w:hAnsi="Times New Roman" w:eastAsia="仿宋_GB2312"/>
                <w:sz w:val="24"/>
              </w:rPr>
              <w:t>2</w:t>
            </w:r>
            <w:r>
              <w:rPr>
                <w:rFonts w:ascii="Times New Roman" w:hAnsi="Times New Roman" w:eastAsia="仿宋_GB2312"/>
                <w:sz w:val="24"/>
              </w:rPr>
              <w:t>020</w:t>
            </w:r>
          </w:p>
        </w:tc>
        <w:tc>
          <w:tcPr>
            <w:tcW w:w="979" w:type="pct"/>
          </w:tcPr>
          <w:p>
            <w:pPr>
              <w:jc w:val="center"/>
              <w:rPr>
                <w:rFonts w:ascii="Times New Roman" w:hAnsi="Times New Roman" w:eastAsia="仿宋_GB2312"/>
                <w:sz w:val="24"/>
              </w:rPr>
            </w:pPr>
            <w:r>
              <w:rPr>
                <w:rFonts w:hint="eastAsia" w:ascii="Times New Roman" w:hAnsi="Times New Roman" w:eastAsia="仿宋_GB2312"/>
                <w:sz w:val="24"/>
              </w:rPr>
              <w:t>燃气热水锅炉</w:t>
            </w:r>
          </w:p>
        </w:tc>
        <w:tc>
          <w:tcPr>
            <w:tcW w:w="918" w:type="pct"/>
          </w:tcPr>
          <w:p>
            <w:pPr>
              <w:jc w:val="center"/>
              <w:rPr>
                <w:rFonts w:ascii="Times New Roman" w:hAnsi="Times New Roman" w:eastAsia="仿宋_GB2312"/>
                <w:sz w:val="24"/>
              </w:rPr>
            </w:pPr>
            <w:r>
              <w:rPr>
                <w:rFonts w:ascii="Times New Roman" w:hAnsi="Times New Roman" w:eastAsia="仿宋_GB2312"/>
                <w:sz w:val="24"/>
              </w:rPr>
              <w:t>否</w:t>
            </w:r>
          </w:p>
        </w:tc>
        <w:tc>
          <w:tcPr>
            <w:tcW w:w="918" w:type="pct"/>
          </w:tcPr>
          <w:p>
            <w:pPr>
              <w:jc w:val="center"/>
              <w:textAlignment w:val="top"/>
              <w:rPr>
                <w:rFonts w:ascii="Times New Roman" w:hAnsi="Times New Roman" w:eastAsia="仿宋_GB2312"/>
                <w:color w:val="000000"/>
                <w:sz w:val="24"/>
              </w:rPr>
            </w:pPr>
            <w:r>
              <w:rPr>
                <w:rFonts w:hint="eastAsia" w:ascii="Times New Roman" w:hAnsi="Times New Roman" w:eastAsia="仿宋_GB2312"/>
                <w:color w:val="000000"/>
                <w:sz w:val="24"/>
              </w:rPr>
              <w:t>X</w:t>
            </w:r>
            <w:r>
              <w:rPr>
                <w:rFonts w:ascii="Times New Roman" w:hAnsi="Times New Roman" w:eastAsia="仿宋_GB2312"/>
                <w:color w:val="000000"/>
                <w:sz w:val="24"/>
              </w:rPr>
              <w:t>XXX</w:t>
            </w:r>
          </w:p>
        </w:tc>
        <w:tc>
          <w:tcPr>
            <w:tcW w:w="918" w:type="pct"/>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 w:type="pct"/>
          </w:tcPr>
          <w:p>
            <w:pPr>
              <w:jc w:val="center"/>
              <w:rPr>
                <w:rFonts w:ascii="Times New Roman" w:hAnsi="Times New Roman" w:eastAsia="仿宋_GB2312"/>
                <w:color w:val="000000"/>
                <w:sz w:val="24"/>
              </w:rPr>
            </w:pPr>
            <w:r>
              <w:rPr>
                <w:rFonts w:ascii="Times New Roman" w:hAnsi="Times New Roman" w:eastAsia="仿宋_GB2312"/>
                <w:color w:val="000000"/>
                <w:sz w:val="24"/>
              </w:rPr>
              <w:t>合计</w:t>
            </w:r>
          </w:p>
        </w:tc>
        <w:tc>
          <w:tcPr>
            <w:tcW w:w="714" w:type="pct"/>
          </w:tcPr>
          <w:p>
            <w:pPr>
              <w:jc w:val="center"/>
              <w:rPr>
                <w:rFonts w:ascii="Times New Roman" w:hAnsi="Times New Roman" w:eastAsia="仿宋_GB2312"/>
                <w:sz w:val="24"/>
              </w:rPr>
            </w:pPr>
          </w:p>
        </w:tc>
        <w:tc>
          <w:tcPr>
            <w:tcW w:w="979" w:type="pct"/>
          </w:tcPr>
          <w:p>
            <w:pPr>
              <w:jc w:val="center"/>
              <w:rPr>
                <w:rFonts w:ascii="Times New Roman" w:hAnsi="Times New Roman" w:eastAsia="仿宋_GB2312"/>
                <w:sz w:val="24"/>
              </w:rPr>
            </w:pPr>
          </w:p>
        </w:tc>
        <w:tc>
          <w:tcPr>
            <w:tcW w:w="918" w:type="pct"/>
          </w:tcPr>
          <w:p>
            <w:pPr>
              <w:jc w:val="center"/>
              <w:rPr>
                <w:rFonts w:ascii="Times New Roman" w:hAnsi="Times New Roman" w:eastAsia="仿宋_GB2312"/>
                <w:sz w:val="24"/>
              </w:rPr>
            </w:pPr>
          </w:p>
        </w:tc>
        <w:tc>
          <w:tcPr>
            <w:tcW w:w="918" w:type="pct"/>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XXXX </w:t>
            </w:r>
          </w:p>
        </w:tc>
        <w:tc>
          <w:tcPr>
            <w:tcW w:w="918" w:type="pct"/>
          </w:tcPr>
          <w:p>
            <w:pPr>
              <w:jc w:val="center"/>
              <w:rPr>
                <w:rFonts w:ascii="Times New Roman" w:hAnsi="Times New Roman" w:eastAsia="仿宋_GB2312"/>
                <w:sz w:val="24"/>
              </w:rPr>
            </w:pPr>
            <w:r>
              <w:rPr>
                <w:rFonts w:ascii="Times New Roman" w:hAnsi="Times New Roman" w:eastAsia="仿宋_GB2312"/>
                <w:sz w:val="24"/>
              </w:rPr>
              <w:t>/</w:t>
            </w:r>
          </w:p>
        </w:tc>
      </w:tr>
    </w:tbl>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根据北京市配额核定方法，发电企业（热电联产）采用基准线法进行配额核定，无需核查新增设施的活动水平数据。</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5.核查过程未覆盖的问题描述</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由于柴油流量计未进行校验而无法核对。核查准则中所要求的其他内容已在本次核查中全面覆盖。</w:t>
      </w:r>
    </w:p>
    <w:p>
      <w:pPr>
        <w:pStyle w:val="4"/>
        <w:spacing w:before="0" w:after="0" w:line="560" w:lineRule="exact"/>
        <w:rPr>
          <w:rFonts w:ascii="Times New Roman" w:hAnsi="Times New Roman" w:eastAsia="仿宋_GB2312"/>
          <w:szCs w:val="32"/>
        </w:rPr>
        <w:sectPr>
          <w:footerReference r:id="rId13" w:type="default"/>
          <w:footerReference r:id="rId14" w:type="even"/>
          <w:pgSz w:w="11906" w:h="16838"/>
          <w:pgMar w:top="2098" w:right="1474" w:bottom="1984" w:left="1587" w:header="851" w:footer="1587" w:gutter="0"/>
          <w:paperSrc/>
          <w:pgNumType w:fmt="decimal"/>
          <w:cols w:space="0" w:num="1"/>
          <w:rtlGutter w:val="0"/>
          <w:docGrid w:type="lines" w:linePitch="312" w:charSpace="0"/>
        </w:sectPr>
      </w:pPr>
    </w:p>
    <w:p>
      <w:pPr>
        <w:pStyle w:val="4"/>
        <w:rPr>
          <w:rFonts w:asciiTheme="majorEastAsia" w:hAnsiTheme="majorEastAsia" w:eastAsiaTheme="majorEastAsia"/>
          <w:sz w:val="32"/>
          <w:szCs w:val="32"/>
        </w:rPr>
      </w:pPr>
      <w:r>
        <w:rPr>
          <w:rFonts w:hint="eastAsia" w:asciiTheme="majorEastAsia" w:hAnsiTheme="majorEastAsia" w:eastAsiaTheme="majorEastAsia"/>
          <w:sz w:val="32"/>
          <w:szCs w:val="32"/>
        </w:rPr>
        <w:t>水泥制造企业</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
          <w:sz w:val="32"/>
          <w:szCs w:val="32"/>
        </w:rPr>
        <w:t>xxxx公司（以下简称排放单位）委托xxx公司开展XXXX年</w:t>
      </w:r>
      <w:r>
        <w:rPr>
          <w:rFonts w:ascii="Times New Roman" w:hAnsi="Times New Roman" w:eastAsia="仿宋_GB2312"/>
          <w:sz w:val="32"/>
          <w:szCs w:val="32"/>
        </w:rPr>
        <w:t>二氧化碳排放的核查工作。核查范围包括排放单位所有在北京市辖区内的固定设施导致的二氧化碳直接排放和二氧化碳间接排放。</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通过文件评审、现场访问、核查报告编写及内部技术复核，核查组对排放单位XXXX年度二氧化碳排放报告形成如下核查结论：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 核算、报告与方法学的符合性</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核查组确认所有不符合已全部关闭，排放单位的核算与报告均符合方法学</w:t>
      </w:r>
      <w:r>
        <w:rPr>
          <w:rFonts w:hint="eastAsia" w:ascii="Times New Roman" w:hAnsi="Times New Roman" w:eastAsia="仿宋_GB2312"/>
          <w:sz w:val="32"/>
          <w:szCs w:val="32"/>
        </w:rPr>
        <w:t>《二氧化碳排放核算和报告要求水泥制造业》（DB11/T 1782-2020）</w:t>
      </w:r>
      <w:r>
        <w:rPr>
          <w:rFonts w:ascii="Times New Roman" w:hAnsi="Times New Roman" w:eastAsia="仿宋_GB2312"/>
          <w:sz w:val="32"/>
          <w:szCs w:val="32"/>
        </w:rPr>
        <w:t>的要求，核查组对本排放报告出具肯定的核查结论。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 本年度排放量及活动水平数据的声明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的直接和间接排放量与最终排放报告中的数据一致。经核查的直接排放量为4500.00吨（其中化石燃料燃烧排放量为3200.00吨，工业生产过程排放量为500.00吨，废弃物处理排放量为800.00吨），间接排放量为13600.00吨，总排放量为18100.00吨。</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的协同处理废弃物的种类、数量、废弃物预处置及协同处置部分耗电量与最终排放报告中数据一致。经核查的协同处理废弃物种类为xxx，处理量为xxxx吨。废弃物的预处置部分的耗电量为xxxMWh，废弃物的协同处置部分的耗电量为xxxMWh。</w:t>
      </w:r>
    </w:p>
    <w:p>
      <w:pPr>
        <w:spacing w:after="0" w:line="560" w:lineRule="exact"/>
        <w:ind w:firstLine="640" w:firstLineChars="200"/>
        <w:jc w:val="both"/>
        <w:rPr>
          <w:rFonts w:ascii="Times New Roman" w:hAnsi="Times New Roman" w:eastAsia="仿宋_GB2312"/>
          <w:b/>
          <w:bCs/>
          <w:sz w:val="32"/>
          <w:szCs w:val="32"/>
        </w:rPr>
      </w:pPr>
      <w:r>
        <w:rPr>
          <w:rFonts w:ascii="Times New Roman" w:hAnsi="Times New Roman" w:eastAsia="仿宋_GB2312"/>
          <w:sz w:val="32"/>
          <w:szCs w:val="32"/>
        </w:rPr>
        <w:t>3. 年度排放量及活动水平波动的原因说明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年度排放量与上一年度排放量相比增加了1100.00吨/6.47%，其中直接排放量增加了1000.00吨/28.57%，间接排放量增加了100.00吨/0.74%。原因为xxxxxx。</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本年度排放量与历史基准年份排放量相比增加了1100.00吨，增加比例为6.47%。原因为xxxxxx。</w:t>
      </w:r>
    </w:p>
    <w:p>
      <w:pPr>
        <w:spacing w:after="0" w:line="560" w:lineRule="exact"/>
        <w:jc w:val="center"/>
        <w:rPr>
          <w:rFonts w:ascii="Times New Roman" w:hAnsi="Times New Roman" w:eastAsia="仿宋_GB2312"/>
          <w:sz w:val="32"/>
          <w:szCs w:val="32"/>
        </w:rPr>
      </w:pPr>
      <w:r>
        <w:rPr>
          <w:rFonts w:ascii="Times New Roman" w:hAnsi="Times New Roman" w:eastAsia="仿宋_GB2312"/>
          <w:sz w:val="24"/>
        </w:rPr>
        <w:t>表XX  排放量汇总表</w:t>
      </w:r>
    </w:p>
    <w:tbl>
      <w:tblPr>
        <w:tblStyle w:val="35"/>
        <w:tblW w:w="79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144"/>
        <w:gridCol w:w="2243"/>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260" w:type="dxa"/>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年度</w:t>
            </w:r>
          </w:p>
        </w:tc>
        <w:tc>
          <w:tcPr>
            <w:tcW w:w="2144" w:type="dxa"/>
            <w:vAlign w:val="center"/>
          </w:tcPr>
          <w:p>
            <w:pPr>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43" w:type="dxa"/>
            <w:vAlign w:val="center"/>
          </w:tcPr>
          <w:p>
            <w:pPr>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间接排放量（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c>
          <w:tcPr>
            <w:tcW w:w="2270" w:type="dxa"/>
            <w:vAlign w:val="center"/>
          </w:tcPr>
          <w:p>
            <w:pPr>
              <w:jc w:val="center"/>
              <w:rPr>
                <w:rFonts w:ascii="Times New Roman" w:hAnsi="Times New Roman" w:eastAsia="仿宋_GB2312"/>
                <w:color w:val="000000"/>
                <w:sz w:val="21"/>
                <w:szCs w:val="21"/>
              </w:rPr>
            </w:pPr>
            <w:r>
              <w:rPr>
                <w:rFonts w:hint="eastAsia" w:ascii="Times New Roman" w:hAnsi="Times New Roman" w:eastAsia="仿宋_GB2312"/>
                <w:color w:val="000000"/>
                <w:sz w:val="21"/>
                <w:szCs w:val="21"/>
              </w:rPr>
              <w:t>排放总量（</w:t>
            </w:r>
            <w:r>
              <w:rPr>
                <w:rFonts w:ascii="Times New Roman" w:hAnsi="Times New Roman" w:eastAsia="仿宋_GB2312"/>
                <w:color w:val="000000"/>
                <w:sz w:val="21"/>
                <w:szCs w:val="21"/>
              </w:rPr>
              <w:t>tCO</w:t>
            </w:r>
            <w:r>
              <w:rPr>
                <w:rFonts w:ascii="Times New Roman" w:hAnsi="Times New Roman" w:eastAsia="仿宋_GB2312"/>
                <w:color w:val="000000"/>
                <w:sz w:val="21"/>
                <w:szCs w:val="21"/>
                <w:vertAlign w:val="subscript"/>
              </w:rPr>
              <w:t>2</w:t>
            </w:r>
            <w:r>
              <w:rPr>
                <w:rFonts w:hint="eastAsia" w:ascii="Times New Roman" w:hAnsi="Times New Roman" w:eastAsia="仿宋_GB2312"/>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2016</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1000.00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14000.00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15000.00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2017</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3000.00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13000.00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16000.00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2018</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3500.00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13500.00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17000.00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2019</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4500.00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13600.00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18100.00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2</w:t>
            </w:r>
            <w:r>
              <w:rPr>
                <w:rFonts w:ascii="Times New Roman" w:hAnsi="Times New Roman" w:eastAsia="仿宋_GB2312"/>
                <w:color w:val="000000"/>
                <w:sz w:val="24"/>
              </w:rPr>
              <w:t>020</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4500.00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13600.00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18100.00 </w:t>
            </w:r>
          </w:p>
        </w:tc>
      </w:tr>
    </w:tbl>
    <w:p>
      <w:pPr>
        <w:ind w:firstLine="640" w:firstLineChars="200"/>
        <w:rPr>
          <w:rFonts w:ascii="Times New Roman" w:hAnsi="Times New Roman" w:eastAsia="仿宋_GB2312"/>
          <w:sz w:val="32"/>
          <w:szCs w:val="32"/>
        </w:rPr>
      </w:pPr>
    </w:p>
    <w:p>
      <w:pPr>
        <w:ind w:firstLine="440" w:firstLineChars="200"/>
        <w:rPr>
          <w:rFonts w:ascii="Times New Roman" w:hAnsi="Times New Roman" w:eastAsia="仿宋_GB2312"/>
          <w:sz w:val="32"/>
          <w:szCs w:val="32"/>
        </w:rPr>
      </w:pPr>
      <w:r>
        <w:rPr>
          <w:lang w:val="en-US"/>
        </w:rPr>
        <w:drawing>
          <wp:inline distT="0" distB="0" distL="0" distR="0">
            <wp:extent cx="4568825" cy="2740025"/>
            <wp:effectExtent l="0" t="0" r="3175" b="3175"/>
            <wp:docPr id="7" name="图表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spacing w:after="0" w:line="560" w:lineRule="exact"/>
        <w:jc w:val="center"/>
        <w:rPr>
          <w:rFonts w:ascii="Times New Roman" w:hAnsi="Times New Roman" w:eastAsia="仿宋_GB2312"/>
          <w:sz w:val="32"/>
          <w:szCs w:val="32"/>
        </w:rPr>
      </w:pPr>
      <w:r>
        <w:rPr>
          <w:rFonts w:ascii="Times New Roman" w:hAnsi="Times New Roman" w:eastAsia="仿宋_GB2312"/>
          <w:sz w:val="24"/>
        </w:rPr>
        <w:t>图XX  排放量变化趋势图（增加</w:t>
      </w:r>
      <w:r>
        <w:rPr>
          <w:rFonts w:hint="eastAsia" w:ascii="Times New Roman" w:hAnsi="Times New Roman" w:eastAsia="仿宋_GB2312"/>
          <w:sz w:val="24"/>
        </w:rPr>
        <w:t>2</w:t>
      </w:r>
      <w:r>
        <w:rPr>
          <w:rFonts w:ascii="Times New Roman" w:hAnsi="Times New Roman" w:eastAsia="仿宋_GB2312"/>
          <w:sz w:val="24"/>
        </w:rPr>
        <w:t>020年）</w:t>
      </w:r>
    </w:p>
    <w:p>
      <w:pPr>
        <w:spacing w:after="0" w:line="560" w:lineRule="exact"/>
        <w:ind w:firstLine="640" w:firstLineChars="200"/>
        <w:jc w:val="both"/>
        <w:rPr>
          <w:rFonts w:ascii="Times New Roman" w:hAnsi="Times New Roman" w:eastAsia="仿宋_GB2312"/>
          <w:sz w:val="32"/>
          <w:szCs w:val="32"/>
        </w:rPr>
      </w:pP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 核算和报告边界变化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4.1 本年度场所边界的变化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排放单位核算和报告边界为位于xxx的生产厂区，有2条xxxx生产线，xx个废弃物预处理车间。与上一年度相比，场所边界无变化；与基准年相比，场所边界无变化。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4.2 本年度排放设施的变化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排放单位2018年xxxx设施（或服务范围）截至2018年底运行（或服务）时间不足12个月，符合既有设施排放配额调整的申请条件。此信息供既有设施调整配额参考。</w:t>
      </w:r>
    </w:p>
    <w:p>
      <w:pPr>
        <w:spacing w:after="0" w:line="560" w:lineRule="exact"/>
        <w:ind w:firstLine="465"/>
        <w:jc w:val="both"/>
        <w:rPr>
          <w:rFonts w:ascii="Times New Roman" w:hAnsi="Times New Roman" w:eastAsia="仿宋_GB2312"/>
          <w:sz w:val="32"/>
          <w:szCs w:val="32"/>
        </w:rPr>
      </w:pPr>
      <w:r>
        <w:rPr>
          <w:rFonts w:ascii="Times New Roman" w:hAnsi="Times New Roman" w:eastAsia="仿宋_GB2312"/>
          <w:sz w:val="32"/>
          <w:szCs w:val="32"/>
        </w:rPr>
        <w:t>排放单位既有设施退出为xxx，未被新增设施替代。</w:t>
      </w:r>
    </w:p>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p>
    <w:p>
      <w:pPr>
        <w:jc w:val="center"/>
        <w:rPr>
          <w:rFonts w:ascii="Times New Roman" w:hAnsi="Times New Roman" w:eastAsia="仿宋_GB2312"/>
          <w:sz w:val="24"/>
        </w:rPr>
      </w:pPr>
      <w:r>
        <w:rPr>
          <w:rFonts w:ascii="Times New Roman" w:hAnsi="Times New Roman" w:eastAsia="仿宋_GB2312"/>
          <w:sz w:val="24"/>
        </w:rPr>
        <w:t>表XX  既有设施退出信息表</w:t>
      </w:r>
    </w:p>
    <w:tbl>
      <w:tblPr>
        <w:tblStyle w:val="3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763"/>
        <w:gridCol w:w="1103"/>
        <w:gridCol w:w="880"/>
        <w:gridCol w:w="723"/>
        <w:gridCol w:w="1075"/>
        <w:gridCol w:w="1174"/>
        <w:gridCol w:w="1174"/>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0" w:hRule="atLeast"/>
          <w:jc w:val="center"/>
        </w:trPr>
        <w:tc>
          <w:tcPr>
            <w:tcW w:w="456"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仿宋_GB2312"/>
                <w:sz w:val="24"/>
              </w:rPr>
            </w:pPr>
            <w:r>
              <w:rPr>
                <w:rFonts w:ascii="Times New Roman" w:hAnsi="Times New Roman" w:eastAsia="仿宋_GB2312"/>
                <w:sz w:val="24"/>
              </w:rPr>
              <w:t>序号</w:t>
            </w:r>
          </w:p>
        </w:tc>
        <w:tc>
          <w:tcPr>
            <w:tcW w:w="763"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仿宋_GB2312"/>
                <w:sz w:val="24"/>
              </w:rPr>
            </w:pPr>
            <w:r>
              <w:rPr>
                <w:rFonts w:ascii="Times New Roman" w:hAnsi="Times New Roman" w:eastAsia="仿宋_GB2312"/>
                <w:sz w:val="24"/>
              </w:rPr>
              <w:t>既有设施名称</w:t>
            </w:r>
          </w:p>
        </w:tc>
        <w:tc>
          <w:tcPr>
            <w:tcW w:w="1103"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ind w:left="-110" w:leftChars="-50" w:right="-110" w:rightChars="-50"/>
              <w:jc w:val="center"/>
              <w:textAlignment w:val="auto"/>
              <w:rPr>
                <w:rFonts w:ascii="Times New Roman" w:hAnsi="Times New Roman" w:eastAsia="仿宋_GB2312"/>
                <w:sz w:val="24"/>
              </w:rPr>
            </w:pPr>
            <w:r>
              <w:rPr>
                <w:rFonts w:ascii="Times New Roman" w:hAnsi="Times New Roman" w:eastAsia="仿宋_GB2312"/>
                <w:sz w:val="24"/>
              </w:rPr>
              <w:t>既有设施对应其它生产信息（如适用）</w:t>
            </w:r>
          </w:p>
        </w:tc>
        <w:tc>
          <w:tcPr>
            <w:tcW w:w="88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仿宋_GB2312"/>
                <w:sz w:val="24"/>
              </w:rPr>
            </w:pPr>
            <w:r>
              <w:rPr>
                <w:rFonts w:ascii="Times New Roman" w:hAnsi="Times New Roman" w:eastAsia="仿宋_GB2312"/>
                <w:sz w:val="24"/>
              </w:rPr>
              <w:t>退出时间</w:t>
            </w:r>
          </w:p>
        </w:tc>
        <w:tc>
          <w:tcPr>
            <w:tcW w:w="723"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仿宋_GB2312"/>
                <w:sz w:val="24"/>
              </w:rPr>
            </w:pPr>
            <w:r>
              <w:rPr>
                <w:rFonts w:ascii="Times New Roman" w:hAnsi="Times New Roman" w:eastAsia="仿宋_GB2312"/>
                <w:sz w:val="24"/>
              </w:rPr>
              <w:t>是否由新增设施替代</w:t>
            </w:r>
          </w:p>
        </w:tc>
        <w:tc>
          <w:tcPr>
            <w:tcW w:w="1075" w:type="dxa"/>
            <w:vMerge w:val="restart"/>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仿宋_GB2312"/>
                <w:sz w:val="24"/>
              </w:rPr>
            </w:pPr>
            <w:r>
              <w:rPr>
                <w:rFonts w:ascii="Times New Roman" w:hAnsi="Times New Roman" w:eastAsia="仿宋_GB2312"/>
                <w:sz w:val="24"/>
              </w:rPr>
              <w:t>年度</w:t>
            </w:r>
          </w:p>
        </w:tc>
        <w:tc>
          <w:tcPr>
            <w:tcW w:w="3522" w:type="dxa"/>
            <w:gridSpan w:val="3"/>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eastAsia="仿宋_GB2312"/>
                <w:sz w:val="24"/>
              </w:rPr>
            </w:pPr>
            <w:r>
              <w:rPr>
                <w:rFonts w:ascii="Times New Roman" w:hAnsi="Times New Roman" w:eastAsia="仿宋_GB2312"/>
                <w:sz w:val="24"/>
              </w:rPr>
              <w:t>历史年度排放量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456"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p>
        </w:tc>
        <w:tc>
          <w:tcPr>
            <w:tcW w:w="763"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p>
        </w:tc>
        <w:tc>
          <w:tcPr>
            <w:tcW w:w="1103"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p>
        </w:tc>
        <w:tc>
          <w:tcPr>
            <w:tcW w:w="880"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p>
        </w:tc>
        <w:tc>
          <w:tcPr>
            <w:tcW w:w="723"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p>
        </w:tc>
        <w:tc>
          <w:tcPr>
            <w:tcW w:w="1075" w:type="dxa"/>
            <w:vMerge w:val="continue"/>
            <w:tcBorders>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p>
        </w:tc>
        <w:tc>
          <w:tcPr>
            <w:tcW w:w="1174"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r>
              <w:rPr>
                <w:rFonts w:ascii="Times New Roman" w:hAnsi="Times New Roman" w:eastAsia="仿宋_GB2312"/>
                <w:sz w:val="24"/>
              </w:rPr>
              <w:t>直接排放量</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r>
              <w:rPr>
                <w:rFonts w:ascii="Times New Roman" w:hAnsi="Times New Roman" w:eastAsia="仿宋_GB2312"/>
                <w:sz w:val="24"/>
              </w:rPr>
              <w:t>（tCO</w:t>
            </w:r>
            <w:r>
              <w:rPr>
                <w:rFonts w:ascii="Times New Roman" w:hAnsi="Times New Roman" w:eastAsia="仿宋_GB2312"/>
                <w:sz w:val="24"/>
                <w:vertAlign w:val="subscript"/>
              </w:rPr>
              <w:t>2</w:t>
            </w:r>
            <w:r>
              <w:rPr>
                <w:rFonts w:ascii="Times New Roman" w:hAnsi="Times New Roman" w:eastAsia="仿宋_GB2312"/>
                <w:sz w:val="24"/>
              </w:rPr>
              <w:t>）</w:t>
            </w:r>
          </w:p>
        </w:tc>
        <w:tc>
          <w:tcPr>
            <w:tcW w:w="1174"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r>
              <w:rPr>
                <w:rFonts w:ascii="Times New Roman" w:hAnsi="Times New Roman" w:eastAsia="仿宋_GB2312"/>
                <w:sz w:val="24"/>
              </w:rPr>
              <w:t>间接排放量（tCO</w:t>
            </w:r>
            <w:r>
              <w:rPr>
                <w:rFonts w:ascii="Times New Roman" w:hAnsi="Times New Roman" w:eastAsia="仿宋_GB2312"/>
                <w:sz w:val="24"/>
                <w:vertAlign w:val="subscript"/>
              </w:rPr>
              <w:t>2</w:t>
            </w:r>
            <w:r>
              <w:rPr>
                <w:rFonts w:ascii="Times New Roman" w:hAnsi="Times New Roman" w:eastAsia="仿宋_GB2312"/>
                <w:sz w:val="24"/>
              </w:rPr>
              <w:t>）</w:t>
            </w:r>
          </w:p>
        </w:tc>
        <w:tc>
          <w:tcPr>
            <w:tcW w:w="1174"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Times New Roman" w:hAnsi="Times New Roman" w:eastAsia="仿宋_GB2312"/>
                <w:sz w:val="24"/>
              </w:rPr>
            </w:pPr>
            <w:r>
              <w:rPr>
                <w:rFonts w:ascii="Times New Roman" w:hAnsi="Times New Roman" w:eastAsia="仿宋_GB2312"/>
                <w:sz w:val="24"/>
              </w:rPr>
              <w:t>总排放量（tCO</w:t>
            </w:r>
            <w:r>
              <w:rPr>
                <w:rFonts w:ascii="Times New Roman" w:hAnsi="Times New Roman" w:eastAsia="仿宋_GB2312"/>
                <w:sz w:val="24"/>
                <w:vertAlign w:val="subscript"/>
              </w:rPr>
              <w:t>2</w:t>
            </w: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45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1</w:t>
            </w:r>
          </w:p>
        </w:tc>
        <w:tc>
          <w:tcPr>
            <w:tcW w:w="763"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1103" w:type="dxa"/>
            <w:vMerge w:val="restart"/>
            <w:vAlign w:val="center"/>
          </w:tcPr>
          <w:p>
            <w:pPr>
              <w:jc w:val="center"/>
              <w:rPr>
                <w:rFonts w:ascii="Times New Roman" w:hAnsi="Times New Roman" w:eastAsia="仿宋_GB2312"/>
                <w:sz w:val="24"/>
              </w:rPr>
            </w:pPr>
          </w:p>
        </w:tc>
        <w:tc>
          <w:tcPr>
            <w:tcW w:w="880"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2018</w:t>
            </w:r>
          </w:p>
        </w:tc>
        <w:tc>
          <w:tcPr>
            <w:tcW w:w="723"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1075"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2016年</w:t>
            </w:r>
          </w:p>
        </w:tc>
        <w:tc>
          <w:tcPr>
            <w:tcW w:w="1174" w:type="dxa"/>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200.00</w:t>
            </w:r>
          </w:p>
        </w:tc>
        <w:tc>
          <w:tcPr>
            <w:tcW w:w="1174" w:type="dxa"/>
            <w:vAlign w:val="center"/>
          </w:tcPr>
          <w:p>
            <w:pPr>
              <w:jc w:val="center"/>
              <w:rPr>
                <w:rFonts w:ascii="Times New Roman" w:hAnsi="Times New Roman" w:eastAsia="仿宋_GB2312"/>
                <w:sz w:val="24"/>
              </w:rPr>
            </w:pPr>
            <w:r>
              <w:rPr>
                <w:rFonts w:ascii="Times New Roman" w:hAnsi="Times New Roman" w:eastAsia="仿宋_GB2312"/>
                <w:sz w:val="24"/>
              </w:rPr>
              <w:t>60.00</w:t>
            </w:r>
          </w:p>
        </w:tc>
        <w:tc>
          <w:tcPr>
            <w:tcW w:w="1174" w:type="dxa"/>
            <w:vAlign w:val="center"/>
          </w:tcPr>
          <w:p>
            <w:pPr>
              <w:jc w:val="center"/>
              <w:rPr>
                <w:rFonts w:ascii="Times New Roman" w:hAnsi="Times New Roman" w:eastAsia="仿宋_GB2312"/>
                <w:sz w:val="24"/>
              </w:rPr>
            </w:pPr>
            <w:r>
              <w:rPr>
                <w:rFonts w:ascii="Times New Roman" w:hAnsi="Times New Roman" w:eastAsia="仿宋_GB2312"/>
                <w:sz w:val="24"/>
              </w:rPr>
              <w:t>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ascii="Times New Roman" w:hAnsi="Times New Roman" w:eastAsia="仿宋_GB2312"/>
                <w:sz w:val="24"/>
              </w:rPr>
            </w:pPr>
          </w:p>
        </w:tc>
        <w:tc>
          <w:tcPr>
            <w:tcW w:w="763" w:type="dxa"/>
            <w:vMerge w:val="continue"/>
          </w:tcPr>
          <w:p>
            <w:pPr>
              <w:rPr>
                <w:rFonts w:ascii="Times New Roman" w:hAnsi="Times New Roman" w:eastAsia="仿宋_GB2312"/>
                <w:sz w:val="24"/>
              </w:rPr>
            </w:pPr>
          </w:p>
        </w:tc>
        <w:tc>
          <w:tcPr>
            <w:tcW w:w="1103" w:type="dxa"/>
            <w:vMerge w:val="continue"/>
          </w:tcPr>
          <w:p>
            <w:pPr>
              <w:rPr>
                <w:rFonts w:ascii="Times New Roman" w:hAnsi="Times New Roman" w:eastAsia="仿宋_GB2312"/>
                <w:sz w:val="24"/>
              </w:rPr>
            </w:pPr>
          </w:p>
        </w:tc>
        <w:tc>
          <w:tcPr>
            <w:tcW w:w="880" w:type="dxa"/>
            <w:vMerge w:val="continue"/>
          </w:tcPr>
          <w:p>
            <w:pPr>
              <w:rPr>
                <w:rFonts w:ascii="Times New Roman" w:hAnsi="Times New Roman" w:eastAsia="仿宋_GB2312"/>
                <w:sz w:val="24"/>
              </w:rPr>
            </w:pPr>
          </w:p>
        </w:tc>
        <w:tc>
          <w:tcPr>
            <w:tcW w:w="723" w:type="dxa"/>
            <w:vMerge w:val="continue"/>
          </w:tcPr>
          <w:p>
            <w:pPr>
              <w:rPr>
                <w:rFonts w:ascii="Times New Roman" w:hAnsi="Times New Roman" w:eastAsia="仿宋_GB2312"/>
                <w:sz w:val="24"/>
              </w:rPr>
            </w:pPr>
          </w:p>
        </w:tc>
        <w:tc>
          <w:tcPr>
            <w:tcW w:w="1075"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2017年</w:t>
            </w:r>
          </w:p>
        </w:tc>
        <w:tc>
          <w:tcPr>
            <w:tcW w:w="1174" w:type="dxa"/>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180.00</w:t>
            </w:r>
          </w:p>
        </w:tc>
        <w:tc>
          <w:tcPr>
            <w:tcW w:w="1174" w:type="dxa"/>
            <w:vAlign w:val="center"/>
          </w:tcPr>
          <w:p>
            <w:pPr>
              <w:jc w:val="center"/>
              <w:rPr>
                <w:rFonts w:ascii="Times New Roman" w:hAnsi="Times New Roman" w:eastAsia="仿宋_GB2312"/>
                <w:sz w:val="24"/>
              </w:rPr>
            </w:pPr>
            <w:r>
              <w:rPr>
                <w:rFonts w:ascii="Times New Roman" w:hAnsi="Times New Roman" w:eastAsia="仿宋_GB2312"/>
                <w:sz w:val="24"/>
              </w:rPr>
              <w:t>65.00</w:t>
            </w:r>
          </w:p>
        </w:tc>
        <w:tc>
          <w:tcPr>
            <w:tcW w:w="1174" w:type="dxa"/>
            <w:vAlign w:val="center"/>
          </w:tcPr>
          <w:p>
            <w:pPr>
              <w:jc w:val="center"/>
              <w:rPr>
                <w:rFonts w:ascii="Times New Roman" w:hAnsi="Times New Roman" w:eastAsia="仿宋_GB2312"/>
                <w:sz w:val="24"/>
              </w:rPr>
            </w:pPr>
            <w:r>
              <w:rPr>
                <w:rFonts w:ascii="Times New Roman" w:hAnsi="Times New Roman" w:eastAsia="仿宋_GB2312"/>
                <w:sz w:val="24"/>
              </w:rPr>
              <w:t>245.00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ascii="Times New Roman" w:hAnsi="Times New Roman" w:eastAsia="仿宋_GB2312"/>
                <w:sz w:val="24"/>
              </w:rPr>
            </w:pPr>
          </w:p>
        </w:tc>
        <w:tc>
          <w:tcPr>
            <w:tcW w:w="763" w:type="dxa"/>
            <w:vMerge w:val="continue"/>
          </w:tcPr>
          <w:p>
            <w:pPr>
              <w:rPr>
                <w:rFonts w:ascii="Times New Roman" w:hAnsi="Times New Roman" w:eastAsia="仿宋_GB2312"/>
                <w:sz w:val="24"/>
              </w:rPr>
            </w:pPr>
          </w:p>
        </w:tc>
        <w:tc>
          <w:tcPr>
            <w:tcW w:w="1103" w:type="dxa"/>
            <w:vMerge w:val="continue"/>
          </w:tcPr>
          <w:p>
            <w:pPr>
              <w:rPr>
                <w:rFonts w:ascii="Times New Roman" w:hAnsi="Times New Roman" w:eastAsia="仿宋_GB2312"/>
                <w:sz w:val="24"/>
              </w:rPr>
            </w:pPr>
          </w:p>
        </w:tc>
        <w:tc>
          <w:tcPr>
            <w:tcW w:w="880" w:type="dxa"/>
            <w:vMerge w:val="continue"/>
          </w:tcPr>
          <w:p>
            <w:pPr>
              <w:rPr>
                <w:rFonts w:ascii="Times New Roman" w:hAnsi="Times New Roman" w:eastAsia="仿宋_GB2312"/>
                <w:sz w:val="24"/>
              </w:rPr>
            </w:pPr>
          </w:p>
        </w:tc>
        <w:tc>
          <w:tcPr>
            <w:tcW w:w="723" w:type="dxa"/>
            <w:vMerge w:val="continue"/>
          </w:tcPr>
          <w:p>
            <w:pPr>
              <w:rPr>
                <w:rFonts w:ascii="Times New Roman" w:hAnsi="Times New Roman" w:eastAsia="仿宋_GB2312"/>
                <w:sz w:val="24"/>
              </w:rPr>
            </w:pPr>
          </w:p>
        </w:tc>
        <w:tc>
          <w:tcPr>
            <w:tcW w:w="1075"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2018年</w:t>
            </w:r>
          </w:p>
        </w:tc>
        <w:tc>
          <w:tcPr>
            <w:tcW w:w="1174" w:type="dxa"/>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20.00</w:t>
            </w:r>
          </w:p>
        </w:tc>
        <w:tc>
          <w:tcPr>
            <w:tcW w:w="1174" w:type="dxa"/>
            <w:vAlign w:val="center"/>
          </w:tcPr>
          <w:p>
            <w:pPr>
              <w:jc w:val="center"/>
              <w:rPr>
                <w:rFonts w:ascii="Times New Roman" w:hAnsi="Times New Roman" w:eastAsia="仿宋_GB2312"/>
                <w:sz w:val="24"/>
              </w:rPr>
            </w:pPr>
            <w:r>
              <w:rPr>
                <w:rFonts w:ascii="Times New Roman" w:hAnsi="Times New Roman" w:eastAsia="仿宋_GB2312"/>
                <w:sz w:val="24"/>
              </w:rPr>
              <w:t>5.00</w:t>
            </w:r>
          </w:p>
        </w:tc>
        <w:tc>
          <w:tcPr>
            <w:tcW w:w="1174" w:type="dxa"/>
            <w:vAlign w:val="center"/>
          </w:tcPr>
          <w:p>
            <w:pPr>
              <w:jc w:val="center"/>
              <w:rPr>
                <w:rFonts w:ascii="Times New Roman" w:hAnsi="Times New Roman" w:eastAsia="仿宋_GB2312"/>
                <w:sz w:val="24"/>
              </w:rPr>
            </w:pPr>
            <w:r>
              <w:rPr>
                <w:rFonts w:ascii="Times New Roman" w:hAnsi="Times New Roman" w:eastAsia="仿宋_GB2312"/>
                <w:sz w:val="24"/>
              </w:rPr>
              <w:t>25.00</w:t>
            </w:r>
          </w:p>
        </w:tc>
      </w:tr>
    </w:tbl>
    <w:p>
      <w:pPr>
        <w:spacing w:after="0" w:line="560" w:lineRule="exact"/>
        <w:ind w:firstLine="465"/>
        <w:rPr>
          <w:rFonts w:ascii="Times New Roman" w:hAnsi="Times New Roman" w:eastAsia="仿宋_GB2312"/>
          <w:sz w:val="32"/>
          <w:szCs w:val="32"/>
        </w:rPr>
      </w:pPr>
      <w:r>
        <w:rPr>
          <w:rFonts w:ascii="Times New Roman" w:hAnsi="Times New Roman" w:eastAsia="仿宋_GB2312"/>
          <w:sz w:val="32"/>
          <w:szCs w:val="32"/>
        </w:rPr>
        <w:t>排放单位新增设施主要为生产用电设备，其排放量信息见下表：</w:t>
      </w:r>
    </w:p>
    <w:p>
      <w:pPr>
        <w:spacing w:after="0" w:line="560" w:lineRule="exact"/>
        <w:jc w:val="center"/>
        <w:rPr>
          <w:rFonts w:ascii="Times New Roman" w:hAnsi="Times New Roman" w:eastAsia="仿宋_GB2312"/>
          <w:sz w:val="24"/>
        </w:rPr>
      </w:pPr>
      <w:r>
        <w:rPr>
          <w:rFonts w:ascii="Times New Roman" w:hAnsi="Times New Roman" w:eastAsia="仿宋_GB2312"/>
          <w:sz w:val="24"/>
        </w:rPr>
        <w:t>表XX  新增设施信息表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294"/>
        <w:gridCol w:w="2333"/>
        <w:gridCol w:w="1649"/>
        <w:gridCol w:w="1269"/>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exact"/>
        </w:trPr>
        <w:tc>
          <w:tcPr>
            <w:tcW w:w="551" w:type="pct"/>
            <w:vAlign w:val="center"/>
          </w:tcPr>
          <w:p>
            <w:pPr>
              <w:keepNext w:val="0"/>
              <w:keepLines w:val="0"/>
              <w:pageBreakBefore w:val="0"/>
              <w:widowControl/>
              <w:tabs>
                <w:tab w:val="left" w:pos="1701"/>
              </w:tabs>
              <w:kinsoku/>
              <w:wordWrap/>
              <w:overflowPunct/>
              <w:topLinePunct w:val="0"/>
              <w:autoSpaceDE/>
              <w:autoSpaceDN/>
              <w:bidi w:val="0"/>
              <w:adjustRightInd/>
              <w:snapToGrid/>
              <w:spacing w:line="240" w:lineRule="auto"/>
              <w:jc w:val="center"/>
              <w:textAlignment w:val="auto"/>
              <w:rPr>
                <w:rFonts w:ascii="Times New Roman" w:hAnsi="Times New Roman" w:eastAsia="仿宋_GB2312"/>
                <w:color w:val="000000"/>
                <w:sz w:val="24"/>
              </w:rPr>
            </w:pPr>
            <w:r>
              <w:rPr>
                <w:rFonts w:ascii="Times New Roman" w:hAnsi="Times New Roman" w:eastAsia="仿宋_GB2312"/>
                <w:color w:val="000000"/>
                <w:sz w:val="24"/>
              </w:rPr>
              <w:t>序号</w:t>
            </w:r>
          </w:p>
        </w:tc>
        <w:tc>
          <w:tcPr>
            <w:tcW w:w="714" w:type="pct"/>
            <w:vAlign w:val="center"/>
          </w:tcPr>
          <w:p>
            <w:pPr>
              <w:keepNext w:val="0"/>
              <w:keepLines w:val="0"/>
              <w:pageBreakBefore w:val="0"/>
              <w:widowControl/>
              <w:tabs>
                <w:tab w:val="left" w:pos="1701"/>
              </w:tabs>
              <w:kinsoku/>
              <w:wordWrap/>
              <w:overflowPunct/>
              <w:topLinePunct w:val="0"/>
              <w:autoSpaceDE/>
              <w:autoSpaceDN/>
              <w:bidi w:val="0"/>
              <w:adjustRightInd/>
              <w:snapToGrid/>
              <w:spacing w:line="240" w:lineRule="auto"/>
              <w:jc w:val="center"/>
              <w:textAlignment w:val="auto"/>
              <w:rPr>
                <w:rFonts w:ascii="Times New Roman" w:hAnsi="Times New Roman" w:eastAsia="仿宋_GB2312"/>
                <w:color w:val="000000"/>
                <w:sz w:val="24"/>
              </w:rPr>
            </w:pPr>
            <w:r>
              <w:rPr>
                <w:rFonts w:ascii="Times New Roman" w:hAnsi="Times New Roman" w:eastAsia="仿宋_GB2312"/>
                <w:color w:val="000000"/>
                <w:sz w:val="24"/>
              </w:rPr>
              <w:t>设施新增年份</w:t>
            </w:r>
          </w:p>
        </w:tc>
        <w:tc>
          <w:tcPr>
            <w:tcW w:w="1287" w:type="pct"/>
            <w:vAlign w:val="center"/>
          </w:tcPr>
          <w:p>
            <w:pPr>
              <w:keepNext w:val="0"/>
              <w:keepLines w:val="0"/>
              <w:pageBreakBefore w:val="0"/>
              <w:widowControl/>
              <w:tabs>
                <w:tab w:val="left" w:pos="1701"/>
              </w:tabs>
              <w:kinsoku/>
              <w:wordWrap/>
              <w:overflowPunct/>
              <w:topLinePunct w:val="0"/>
              <w:autoSpaceDE/>
              <w:autoSpaceDN/>
              <w:bidi w:val="0"/>
              <w:adjustRightInd/>
              <w:snapToGrid/>
              <w:spacing w:line="240" w:lineRule="auto"/>
              <w:jc w:val="center"/>
              <w:textAlignment w:val="auto"/>
              <w:rPr>
                <w:rFonts w:ascii="Times New Roman" w:hAnsi="Times New Roman" w:eastAsia="仿宋_GB2312"/>
                <w:color w:val="000000"/>
                <w:sz w:val="24"/>
              </w:rPr>
            </w:pPr>
            <w:r>
              <w:rPr>
                <w:rFonts w:ascii="Times New Roman" w:hAnsi="Times New Roman" w:eastAsia="仿宋_GB2312"/>
                <w:color w:val="000000"/>
                <w:sz w:val="24"/>
              </w:rPr>
              <w:t>新增设施类型</w:t>
            </w:r>
          </w:p>
        </w:tc>
        <w:tc>
          <w:tcPr>
            <w:tcW w:w="910" w:type="pct"/>
            <w:vAlign w:val="center"/>
          </w:tcPr>
          <w:p>
            <w:pPr>
              <w:keepNext w:val="0"/>
              <w:keepLines w:val="0"/>
              <w:pageBreakBefore w:val="0"/>
              <w:widowControl/>
              <w:tabs>
                <w:tab w:val="left" w:pos="1701"/>
              </w:tabs>
              <w:kinsoku/>
              <w:wordWrap/>
              <w:overflowPunct/>
              <w:topLinePunct w:val="0"/>
              <w:autoSpaceDE/>
              <w:autoSpaceDN/>
              <w:bidi w:val="0"/>
              <w:adjustRightInd/>
              <w:snapToGrid/>
              <w:spacing w:line="240" w:lineRule="auto"/>
              <w:jc w:val="center"/>
              <w:textAlignment w:val="auto"/>
              <w:rPr>
                <w:rFonts w:ascii="Times New Roman" w:hAnsi="Times New Roman" w:eastAsia="仿宋_GB2312"/>
                <w:color w:val="000000"/>
                <w:sz w:val="24"/>
              </w:rPr>
            </w:pPr>
            <w:r>
              <w:rPr>
                <w:rFonts w:ascii="Times New Roman" w:hAnsi="Times New Roman" w:eastAsia="仿宋_GB2312"/>
                <w:color w:val="000000"/>
                <w:sz w:val="24"/>
              </w:rPr>
              <w:t>是否替代既有设施，被替代既有设施类型</w:t>
            </w:r>
          </w:p>
        </w:tc>
        <w:tc>
          <w:tcPr>
            <w:tcW w:w="700" w:type="pct"/>
            <w:vAlign w:val="center"/>
          </w:tcPr>
          <w:p>
            <w:pPr>
              <w:keepNext w:val="0"/>
              <w:keepLines w:val="0"/>
              <w:pageBreakBefore w:val="0"/>
              <w:widowControl/>
              <w:tabs>
                <w:tab w:val="left" w:pos="1701"/>
              </w:tabs>
              <w:kinsoku/>
              <w:wordWrap/>
              <w:overflowPunct/>
              <w:topLinePunct w:val="0"/>
              <w:autoSpaceDE/>
              <w:autoSpaceDN/>
              <w:bidi w:val="0"/>
              <w:adjustRightInd/>
              <w:snapToGrid/>
              <w:spacing w:line="240" w:lineRule="auto"/>
              <w:jc w:val="center"/>
              <w:textAlignment w:val="auto"/>
              <w:rPr>
                <w:rFonts w:ascii="Times New Roman" w:hAnsi="Times New Roman" w:eastAsia="仿宋_GB2312"/>
                <w:color w:val="000000"/>
                <w:sz w:val="24"/>
              </w:rPr>
            </w:pPr>
            <w:r>
              <w:rPr>
                <w:rFonts w:ascii="Times New Roman" w:hAnsi="Times New Roman" w:eastAsia="仿宋_GB2312"/>
                <w:color w:val="000000"/>
                <w:sz w:val="24"/>
              </w:rPr>
              <w:t>新增设施排放量（吨）</w:t>
            </w:r>
          </w:p>
        </w:tc>
        <w:tc>
          <w:tcPr>
            <w:tcW w:w="835" w:type="pct"/>
            <w:vAlign w:val="center"/>
          </w:tcPr>
          <w:p>
            <w:pPr>
              <w:keepNext w:val="0"/>
              <w:keepLines w:val="0"/>
              <w:pageBreakBefore w:val="0"/>
              <w:widowControl/>
              <w:tabs>
                <w:tab w:val="left" w:pos="1701"/>
              </w:tabs>
              <w:kinsoku/>
              <w:wordWrap/>
              <w:overflowPunct/>
              <w:topLinePunct w:val="0"/>
              <w:autoSpaceDE/>
              <w:autoSpaceDN/>
              <w:bidi w:val="0"/>
              <w:adjustRightInd/>
              <w:snapToGrid/>
              <w:spacing w:line="240" w:lineRule="auto"/>
              <w:jc w:val="center"/>
              <w:textAlignment w:val="auto"/>
              <w:rPr>
                <w:rFonts w:ascii="Times New Roman" w:hAnsi="Times New Roman" w:eastAsia="仿宋_GB2312"/>
                <w:color w:val="000000"/>
                <w:sz w:val="24"/>
              </w:rPr>
            </w:pPr>
            <w:r>
              <w:rPr>
                <w:rFonts w:hint="eastAsia" w:ascii="Times New Roman" w:hAnsi="Times New Roman" w:eastAsia="仿宋_GB2312"/>
                <w:color w:val="000000"/>
                <w:sz w:val="24"/>
              </w:rPr>
              <w:t>替代既有设施的新增排放量(吨)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1</w:t>
            </w:r>
          </w:p>
        </w:tc>
        <w:tc>
          <w:tcPr>
            <w:tcW w:w="714"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2019</w:t>
            </w:r>
          </w:p>
        </w:tc>
        <w:tc>
          <w:tcPr>
            <w:tcW w:w="1287"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xxx</w:t>
            </w:r>
          </w:p>
        </w:tc>
        <w:tc>
          <w:tcPr>
            <w:tcW w:w="910"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否</w:t>
            </w:r>
          </w:p>
        </w:tc>
        <w:tc>
          <w:tcPr>
            <w:tcW w:w="700"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300.00</w:t>
            </w:r>
          </w:p>
        </w:tc>
        <w:tc>
          <w:tcPr>
            <w:tcW w:w="835"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Align w:val="center"/>
          </w:tcPr>
          <w:p>
            <w:pPr>
              <w:jc w:val="center"/>
              <w:rPr>
                <w:rFonts w:ascii="Times New Roman" w:hAnsi="Times New Roman" w:eastAsia="仿宋_GB2312"/>
                <w:sz w:val="24"/>
              </w:rPr>
            </w:pPr>
            <w:r>
              <w:rPr>
                <w:rFonts w:ascii="Times New Roman" w:hAnsi="Times New Roman" w:eastAsia="仿宋_GB2312"/>
                <w:color w:val="000000"/>
                <w:sz w:val="24"/>
              </w:rPr>
              <w:t>2</w:t>
            </w:r>
          </w:p>
        </w:tc>
        <w:tc>
          <w:tcPr>
            <w:tcW w:w="714" w:type="pct"/>
            <w:vAlign w:val="center"/>
          </w:tcPr>
          <w:p>
            <w:pPr>
              <w:jc w:val="center"/>
              <w:rPr>
                <w:rFonts w:ascii="Times New Roman" w:hAnsi="Times New Roman" w:eastAsia="仿宋_GB2312"/>
                <w:sz w:val="24"/>
              </w:rPr>
            </w:pPr>
            <w:r>
              <w:rPr>
                <w:rFonts w:ascii="Times New Roman" w:hAnsi="Times New Roman" w:eastAsia="仿宋_GB2312"/>
                <w:sz w:val="24"/>
              </w:rPr>
              <w:t>2019</w:t>
            </w:r>
          </w:p>
        </w:tc>
        <w:tc>
          <w:tcPr>
            <w:tcW w:w="1287" w:type="pc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910"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700" w:type="pct"/>
            <w:vAlign w:val="center"/>
          </w:tcPr>
          <w:p>
            <w:pPr>
              <w:jc w:val="center"/>
              <w:rPr>
                <w:rFonts w:ascii="Times New Roman" w:hAnsi="Times New Roman" w:eastAsia="仿宋_GB2312"/>
                <w:sz w:val="24"/>
              </w:rPr>
            </w:pPr>
            <w:r>
              <w:rPr>
                <w:rFonts w:ascii="Times New Roman" w:hAnsi="Times New Roman" w:eastAsia="仿宋_GB2312"/>
                <w:sz w:val="24"/>
              </w:rPr>
              <w:t>500.00</w:t>
            </w:r>
          </w:p>
        </w:tc>
        <w:tc>
          <w:tcPr>
            <w:tcW w:w="835" w:type="pct"/>
            <w:vAlign w:val="center"/>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vAlign w:val="center"/>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3</w:t>
            </w:r>
          </w:p>
        </w:tc>
        <w:tc>
          <w:tcPr>
            <w:tcW w:w="714"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r>
              <w:rPr>
                <w:rFonts w:ascii="Times New Roman" w:hAnsi="Times New Roman" w:eastAsia="仿宋_GB2312"/>
                <w:sz w:val="24"/>
              </w:rPr>
              <w:t>020</w:t>
            </w:r>
          </w:p>
        </w:tc>
        <w:tc>
          <w:tcPr>
            <w:tcW w:w="1287" w:type="pct"/>
            <w:vAlign w:val="center"/>
          </w:tcPr>
          <w:p>
            <w:pPr>
              <w:jc w:val="center"/>
              <w:rPr>
                <w:rFonts w:ascii="Times New Roman" w:hAnsi="Times New Roman" w:eastAsia="仿宋_GB2312"/>
                <w:sz w:val="24"/>
              </w:rPr>
            </w:pPr>
            <w:r>
              <w:rPr>
                <w:rFonts w:hint="eastAsia" w:ascii="Times New Roman" w:hAnsi="Times New Roman" w:eastAsia="仿宋_GB2312"/>
                <w:sz w:val="24"/>
              </w:rPr>
              <w:t>X</w:t>
            </w:r>
            <w:r>
              <w:rPr>
                <w:rFonts w:ascii="Times New Roman" w:hAnsi="Times New Roman" w:eastAsia="仿宋_GB2312"/>
                <w:sz w:val="24"/>
              </w:rPr>
              <w:t>XX</w:t>
            </w:r>
          </w:p>
        </w:tc>
        <w:tc>
          <w:tcPr>
            <w:tcW w:w="910"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700" w:type="pct"/>
            <w:vAlign w:val="center"/>
          </w:tcPr>
          <w:p>
            <w:pPr>
              <w:jc w:val="center"/>
              <w:rPr>
                <w:rFonts w:ascii="Times New Roman" w:hAnsi="Times New Roman" w:eastAsia="仿宋_GB2312"/>
                <w:sz w:val="24"/>
              </w:rPr>
            </w:pPr>
            <w:r>
              <w:rPr>
                <w:rFonts w:hint="eastAsia" w:ascii="Times New Roman" w:hAnsi="Times New Roman" w:eastAsia="仿宋_GB2312"/>
                <w:sz w:val="24"/>
              </w:rPr>
              <w:t>X</w:t>
            </w:r>
            <w:r>
              <w:rPr>
                <w:rFonts w:ascii="Times New Roman" w:hAnsi="Times New Roman" w:eastAsia="仿宋_GB2312"/>
                <w:sz w:val="24"/>
              </w:rPr>
              <w:t>XX</w:t>
            </w:r>
          </w:p>
        </w:tc>
        <w:tc>
          <w:tcPr>
            <w:tcW w:w="835"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1" w:type="pct"/>
          </w:tcPr>
          <w:p>
            <w:pPr>
              <w:jc w:val="center"/>
              <w:rPr>
                <w:rFonts w:ascii="Times New Roman" w:hAnsi="Times New Roman" w:eastAsia="仿宋_GB2312"/>
                <w:sz w:val="24"/>
              </w:rPr>
            </w:pPr>
            <w:r>
              <w:rPr>
                <w:rFonts w:ascii="Times New Roman" w:hAnsi="Times New Roman" w:eastAsia="仿宋_GB2312"/>
                <w:color w:val="000000"/>
                <w:sz w:val="24"/>
              </w:rPr>
              <w:t>合计</w:t>
            </w:r>
          </w:p>
        </w:tc>
        <w:tc>
          <w:tcPr>
            <w:tcW w:w="714" w:type="pct"/>
          </w:tcPr>
          <w:p>
            <w:pPr>
              <w:rPr>
                <w:rFonts w:ascii="Times New Roman" w:hAnsi="Times New Roman" w:eastAsia="仿宋_GB2312"/>
                <w:sz w:val="24"/>
              </w:rPr>
            </w:pPr>
          </w:p>
        </w:tc>
        <w:tc>
          <w:tcPr>
            <w:tcW w:w="1287" w:type="pct"/>
          </w:tcPr>
          <w:p>
            <w:pPr>
              <w:rPr>
                <w:rFonts w:ascii="Times New Roman" w:hAnsi="Times New Roman" w:eastAsia="仿宋_GB2312"/>
                <w:sz w:val="24"/>
              </w:rPr>
            </w:pPr>
          </w:p>
        </w:tc>
        <w:tc>
          <w:tcPr>
            <w:tcW w:w="910" w:type="pct"/>
          </w:tcPr>
          <w:p>
            <w:pPr>
              <w:rPr>
                <w:rFonts w:ascii="Times New Roman" w:hAnsi="Times New Roman" w:eastAsia="仿宋_GB2312"/>
                <w:sz w:val="24"/>
              </w:rPr>
            </w:pPr>
          </w:p>
        </w:tc>
        <w:tc>
          <w:tcPr>
            <w:tcW w:w="700" w:type="pc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835" w:type="pct"/>
          </w:tcPr>
          <w:p>
            <w:pPr>
              <w:jc w:val="center"/>
              <w:rPr>
                <w:rFonts w:ascii="Times New Roman" w:hAnsi="Times New Roman" w:eastAsia="仿宋_GB2312"/>
                <w:sz w:val="24"/>
              </w:rPr>
            </w:pPr>
            <w:r>
              <w:rPr>
                <w:rFonts w:ascii="Times New Roman" w:hAnsi="Times New Roman" w:eastAsia="仿宋_GB2312"/>
                <w:sz w:val="24"/>
              </w:rPr>
              <w:t>/</w:t>
            </w:r>
          </w:p>
        </w:tc>
      </w:tr>
    </w:tbl>
    <w:p>
      <w:pPr>
        <w:spacing w:after="0" w:line="560" w:lineRule="exact"/>
        <w:ind w:firstLine="465"/>
        <w:jc w:val="both"/>
        <w:rPr>
          <w:rFonts w:ascii="Times New Roman" w:hAnsi="Times New Roman" w:eastAsia="仿宋_GB2312"/>
          <w:sz w:val="32"/>
          <w:szCs w:val="32"/>
        </w:rPr>
      </w:pPr>
      <w:r>
        <w:rPr>
          <w:rFonts w:ascii="Times New Roman" w:hAnsi="Times New Roman" w:eastAsia="仿宋_GB2312"/>
          <w:sz w:val="32"/>
          <w:szCs w:val="32"/>
        </w:rPr>
        <w:t>排放单位2020年新增设施的总排放量为XXX吨，是基准年排放量的XXX%</w:t>
      </w:r>
      <w:r>
        <w:rPr>
          <w:rStyle w:val="39"/>
          <w:rFonts w:eastAsia="仿宋_GB2312"/>
          <w:sz w:val="32"/>
          <w:szCs w:val="32"/>
        </w:rPr>
        <w:t>，新增设施主要用于废弃物协同处置，对应的xx废弃物处理量为xxx吨</w:t>
      </w:r>
      <w:r>
        <w:rPr>
          <w:rFonts w:ascii="Times New Roman" w:hAnsi="Times New Roman" w:eastAsia="仿宋_GB2312"/>
          <w:sz w:val="32"/>
          <w:szCs w:val="32"/>
        </w:rPr>
        <w:t>。此信息供新增设施发放配额参考。</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 核查过程未覆盖的问题描述</w:t>
      </w:r>
    </w:p>
    <w:p>
      <w:pPr>
        <w:spacing w:after="0" w:line="560" w:lineRule="exact"/>
        <w:ind w:firstLine="640" w:firstLineChars="200"/>
        <w:rPr>
          <w:rFonts w:ascii="Times New Roman" w:hAnsi="Times New Roman"/>
        </w:rPr>
      </w:pPr>
      <w:r>
        <w:rPr>
          <w:rFonts w:ascii="Times New Roman" w:hAnsi="Times New Roman" w:eastAsia="仿宋_GB2312"/>
          <w:sz w:val="32"/>
          <w:szCs w:val="32"/>
        </w:rPr>
        <w:t>由于天然气表和电表分别为燃气公司及电力公司管控，因此未能核查这些仪表的检定信息。</w:t>
      </w:r>
    </w:p>
    <w:p>
      <w:pPr>
        <w:spacing w:after="0" w:line="560" w:lineRule="exact"/>
        <w:rPr>
          <w:rFonts w:ascii="Times New Roman" w:hAnsi="Times New Roman"/>
        </w:rPr>
        <w:sectPr>
          <w:pgSz w:w="11906" w:h="16838"/>
          <w:pgMar w:top="2098" w:right="1474" w:bottom="1984" w:left="1587" w:header="851" w:footer="1587" w:gutter="0"/>
          <w:paperSrc/>
          <w:pgNumType w:fmt="decimal"/>
          <w:cols w:space="0" w:num="1"/>
          <w:rtlGutter w:val="0"/>
          <w:docGrid w:type="lines" w:linePitch="312" w:charSpace="0"/>
        </w:sectPr>
      </w:pPr>
    </w:p>
    <w:p>
      <w:pPr>
        <w:pStyle w:val="4"/>
        <w:spacing w:before="0" w:after="0" w:line="56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石油化工生产企业</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
          <w:sz w:val="32"/>
          <w:szCs w:val="32"/>
        </w:rPr>
        <w:t>xxxx公司（以下简称排放单位）委托xxx公司开展XXXX年</w:t>
      </w:r>
      <w:r>
        <w:rPr>
          <w:rFonts w:ascii="Times New Roman" w:hAnsi="Times New Roman" w:eastAsia="仿宋_GB2312"/>
          <w:sz w:val="32"/>
          <w:szCs w:val="32"/>
        </w:rPr>
        <w:t>二氧化碳排放的核查工作。核查范围包括排放单位所有在北京市行政辖区内固定设施导致的二氧化碳直接排放和二氧化碳间接排放。</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通过文件评审、现场访问、核查报告编写及内部技术复核，核查组对排放单位XXXX年度二氧化碳排放报告形成如下核查结论：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 核算、报告与方法学的符合性</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核查组确认所有不符合已全部关闭，排放单位的核算与报告均符合方法学</w:t>
      </w:r>
      <w:r>
        <w:rPr>
          <w:rFonts w:hint="eastAsia" w:ascii="Times New Roman" w:hAnsi="Times New Roman" w:eastAsia="仿宋_GB2312"/>
          <w:sz w:val="32"/>
          <w:szCs w:val="32"/>
        </w:rPr>
        <w:t>《二氧化碳排放核算和报告要求石油化工生产业》（DB11/T 1783-2020）</w:t>
      </w:r>
      <w:r>
        <w:rPr>
          <w:rFonts w:ascii="Times New Roman" w:hAnsi="Times New Roman" w:eastAsia="仿宋_GB2312"/>
          <w:sz w:val="32"/>
          <w:szCs w:val="32"/>
        </w:rPr>
        <w:t>的要求，核查组对本排放报告出具肯定的核查结论。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 本年度排放量及活动水平数据的声明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经核查的直接和间接排放量与最终排放报告中的数据一致。经核查的直接排放量为2000.00吨（化石燃料燃烧排放量为1500.00吨，工业生产过程排放量为500.00吨），间接排放量为12000.00吨，总排放量为14000.00吨。</w:t>
      </w:r>
    </w:p>
    <w:p>
      <w:pPr>
        <w:spacing w:after="0" w:line="56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经核查的产品产量、产值与最终排放报告中数据一致。经核查的</w:t>
      </w:r>
      <w:r>
        <w:rPr>
          <w:rFonts w:ascii="Times New Roman" w:hAnsi="Times New Roman" w:eastAsia="仿宋_GB2312"/>
          <w:sz w:val="32"/>
          <w:szCs w:val="32"/>
        </w:rPr>
        <w:t>xx</w:t>
      </w:r>
      <w:r>
        <w:rPr>
          <w:rFonts w:hint="eastAsia" w:ascii="Times New Roman" w:hAnsi="Times New Roman" w:eastAsia="仿宋_GB2312"/>
          <w:sz w:val="32"/>
          <w:szCs w:val="32"/>
        </w:rPr>
        <w:t>产品产量为</w:t>
      </w:r>
      <w:r>
        <w:rPr>
          <w:rFonts w:ascii="Times New Roman" w:hAnsi="Times New Roman" w:eastAsia="仿宋_GB2312"/>
          <w:sz w:val="32"/>
          <w:szCs w:val="32"/>
        </w:rPr>
        <w:t>xx</w:t>
      </w:r>
      <w:r>
        <w:rPr>
          <w:rFonts w:hint="eastAsia" w:ascii="Times New Roman" w:hAnsi="Times New Roman" w:eastAsia="仿宋_GB2312"/>
          <w:sz w:val="32"/>
          <w:szCs w:val="32"/>
        </w:rPr>
        <w:t>吨，产值为</w:t>
      </w:r>
      <w:r>
        <w:rPr>
          <w:rFonts w:ascii="Times New Roman" w:hAnsi="Times New Roman" w:eastAsia="仿宋_GB2312"/>
          <w:sz w:val="32"/>
          <w:szCs w:val="32"/>
        </w:rPr>
        <w:t>xxx</w:t>
      </w:r>
      <w:r>
        <w:rPr>
          <w:rFonts w:hint="eastAsia" w:ascii="Times New Roman" w:hAnsi="Times New Roman" w:eastAsia="仿宋_GB2312"/>
          <w:sz w:val="32"/>
          <w:szCs w:val="32"/>
        </w:rPr>
        <w:t>万元。</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3. 年度排放量及活动水平波动的原因说明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本年度排放量与上年度排放量相比下降了3000.00吨/17.65%，其中，直接排放量下降了1500.00吨/42.86%，间接排放量下降了1500.00吨/11.11%。原因为xxxxxx。</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本年度排放量与历史基准年份排放量相比下降了3000.00吨，下降比例为17.65%。原因为xxxxxx。</w:t>
      </w:r>
    </w:p>
    <w:p>
      <w:pPr>
        <w:spacing w:after="0" w:line="560" w:lineRule="exact"/>
        <w:jc w:val="center"/>
        <w:rPr>
          <w:rFonts w:ascii="Times New Roman" w:hAnsi="Times New Roman" w:eastAsia="仿宋_GB2312"/>
          <w:sz w:val="32"/>
          <w:szCs w:val="32"/>
        </w:rPr>
      </w:pPr>
      <w:r>
        <w:rPr>
          <w:rFonts w:ascii="Times New Roman" w:hAnsi="Times New Roman" w:eastAsia="仿宋_GB2312"/>
          <w:sz w:val="24"/>
        </w:rPr>
        <w:t>表XX  排放量汇总表</w:t>
      </w:r>
    </w:p>
    <w:tbl>
      <w:tblPr>
        <w:tblStyle w:val="35"/>
        <w:tblW w:w="79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144"/>
        <w:gridCol w:w="2243"/>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260" w:type="dxa"/>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年度</w:t>
            </w:r>
          </w:p>
        </w:tc>
        <w:tc>
          <w:tcPr>
            <w:tcW w:w="2144" w:type="dxa"/>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直接排放量（tCO2）</w:t>
            </w:r>
          </w:p>
        </w:tc>
        <w:tc>
          <w:tcPr>
            <w:tcW w:w="2243" w:type="dxa"/>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间接排放量（tCO2）</w:t>
            </w:r>
          </w:p>
        </w:tc>
        <w:tc>
          <w:tcPr>
            <w:tcW w:w="2270" w:type="dxa"/>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排放总量（tCO2）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2016</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5000.00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14297.00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19297.00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2017</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3000.00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13643.00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16643.00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2018</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3500.00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13500.00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17000.00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2019</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2000.00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12000.00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14000.00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7" w:hRule="atLeast"/>
        </w:trPr>
        <w:tc>
          <w:tcPr>
            <w:tcW w:w="1260" w:type="dxa"/>
            <w:noWrap/>
            <w:vAlign w:val="center"/>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2</w:t>
            </w:r>
            <w:r>
              <w:rPr>
                <w:rFonts w:ascii="Times New Roman" w:hAnsi="Times New Roman" w:eastAsia="仿宋_GB2312"/>
                <w:color w:val="000000"/>
                <w:sz w:val="24"/>
              </w:rPr>
              <w:t>020</w:t>
            </w:r>
          </w:p>
        </w:tc>
        <w:tc>
          <w:tcPr>
            <w:tcW w:w="2144"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2000.00 </w:t>
            </w:r>
          </w:p>
        </w:tc>
        <w:tc>
          <w:tcPr>
            <w:tcW w:w="2243" w:type="dxa"/>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12000.00 </w:t>
            </w:r>
          </w:p>
        </w:tc>
        <w:tc>
          <w:tcPr>
            <w:tcW w:w="2270" w:type="dxa"/>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14000.00 </w:t>
            </w:r>
          </w:p>
        </w:tc>
      </w:tr>
    </w:tbl>
    <w:p>
      <w:pPr>
        <w:ind w:firstLine="440" w:firstLineChars="200"/>
        <w:rPr>
          <w:rFonts w:ascii="Times New Roman" w:hAnsi="Times New Roman"/>
        </w:rPr>
      </w:pPr>
      <w:r>
        <w:rPr>
          <w:lang w:val="en-US"/>
        </w:rPr>
        <w:drawing>
          <wp:inline distT="0" distB="0" distL="0" distR="0">
            <wp:extent cx="4568825" cy="2740025"/>
            <wp:effectExtent l="4445" t="4445" r="17780" b="17780"/>
            <wp:docPr id="6" name="图表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pPr>
        <w:spacing w:after="0" w:line="560" w:lineRule="exact"/>
        <w:jc w:val="center"/>
        <w:rPr>
          <w:rFonts w:ascii="Times New Roman" w:hAnsi="Times New Roman"/>
        </w:rPr>
      </w:pPr>
      <w:r>
        <w:rPr>
          <w:rFonts w:ascii="Times New Roman" w:hAnsi="Times New Roman" w:eastAsia="仿宋_GB2312"/>
          <w:sz w:val="24"/>
        </w:rPr>
        <w:t>图XX  排放量变化趋势图（增加</w:t>
      </w:r>
      <w:r>
        <w:rPr>
          <w:rFonts w:hint="eastAsia" w:ascii="Times New Roman" w:hAnsi="Times New Roman" w:eastAsia="仿宋_GB2312"/>
          <w:sz w:val="24"/>
        </w:rPr>
        <w:t>2</w:t>
      </w:r>
      <w:r>
        <w:rPr>
          <w:rFonts w:ascii="Times New Roman" w:hAnsi="Times New Roman" w:eastAsia="仿宋_GB2312"/>
          <w:sz w:val="24"/>
        </w:rPr>
        <w:t>020年度）</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 核算和报告边界变化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4.1 本年度场所边界的变化</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排放单位核算和报告边界为位于xxx的生产厂区，有2条xxxx生产线。与上年度相比，场所边界无变化；与基准年相比，场所边界无变化。</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4.2 本年度排放设施的变化</w:t>
      </w:r>
    </w:p>
    <w:p>
      <w:pPr>
        <w:spacing w:after="0" w:line="560" w:lineRule="exact"/>
        <w:ind w:firstLine="640" w:firstLineChars="200"/>
        <w:rPr>
          <w:rFonts w:ascii="Times New Roman" w:hAnsi="Times New Roman" w:eastAsia="仿宋_GB2312"/>
          <w:b/>
          <w:bCs/>
          <w:sz w:val="32"/>
          <w:szCs w:val="32"/>
        </w:rPr>
      </w:pPr>
      <w:r>
        <w:rPr>
          <w:rFonts w:ascii="Times New Roman" w:hAnsi="Times New Roman" w:eastAsia="仿宋_GB2312"/>
          <w:sz w:val="32"/>
          <w:szCs w:val="32"/>
        </w:rPr>
        <w:t>排放单位不涉及既有设施排放配额调整。</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排放单位既有设施退出为xxx，未被新增设施替代。</w:t>
      </w:r>
    </w:p>
    <w:p>
      <w:pPr>
        <w:spacing w:after="0" w:line="560" w:lineRule="exact"/>
        <w:jc w:val="center"/>
        <w:rPr>
          <w:rFonts w:ascii="Times New Roman" w:hAnsi="Times New Roman" w:eastAsia="仿宋_GB2312"/>
          <w:sz w:val="24"/>
        </w:rPr>
      </w:pPr>
      <w:r>
        <w:rPr>
          <w:rFonts w:ascii="Times New Roman" w:hAnsi="Times New Roman" w:eastAsia="仿宋_GB2312"/>
          <w:sz w:val="24"/>
        </w:rPr>
        <w:t>表XX  既有设施退出信息表</w:t>
      </w:r>
    </w:p>
    <w:tbl>
      <w:tblPr>
        <w:tblStyle w:val="3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63"/>
        <w:gridCol w:w="1086"/>
        <w:gridCol w:w="708"/>
        <w:gridCol w:w="912"/>
        <w:gridCol w:w="1075"/>
        <w:gridCol w:w="1174"/>
        <w:gridCol w:w="1174"/>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45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序号</w:t>
            </w:r>
          </w:p>
        </w:tc>
        <w:tc>
          <w:tcPr>
            <w:tcW w:w="78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既有设施名称</w:t>
            </w:r>
          </w:p>
        </w:tc>
        <w:tc>
          <w:tcPr>
            <w:tcW w:w="1134"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既有设施对应其它生产信息（如适用）</w:t>
            </w:r>
          </w:p>
        </w:tc>
        <w:tc>
          <w:tcPr>
            <w:tcW w:w="709"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退出时间</w:t>
            </w:r>
          </w:p>
        </w:tc>
        <w:tc>
          <w:tcPr>
            <w:tcW w:w="968"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是否由新增设施替代</w:t>
            </w:r>
          </w:p>
        </w:tc>
        <w:tc>
          <w:tcPr>
            <w:tcW w:w="1121" w:type="dxa"/>
            <w:vMerge w:val="restart"/>
            <w:tcBorders>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年度</w:t>
            </w:r>
          </w:p>
        </w:tc>
        <w:tc>
          <w:tcPr>
            <w:tcW w:w="3348" w:type="dxa"/>
            <w:gridSpan w:val="3"/>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历史年度排放量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56" w:type="dxa"/>
            <w:vMerge w:val="continue"/>
            <w:vAlign w:val="center"/>
          </w:tcPr>
          <w:p>
            <w:pPr>
              <w:jc w:val="center"/>
              <w:rPr>
                <w:rFonts w:ascii="Times New Roman" w:hAnsi="Times New Roman" w:eastAsia="仿宋_GB2312"/>
                <w:sz w:val="24"/>
              </w:rPr>
            </w:pPr>
          </w:p>
        </w:tc>
        <w:tc>
          <w:tcPr>
            <w:tcW w:w="786" w:type="dxa"/>
            <w:vMerge w:val="continue"/>
            <w:vAlign w:val="center"/>
          </w:tcPr>
          <w:p>
            <w:pPr>
              <w:jc w:val="center"/>
              <w:rPr>
                <w:rFonts w:ascii="Times New Roman" w:hAnsi="Times New Roman" w:eastAsia="仿宋_GB2312"/>
                <w:sz w:val="24"/>
              </w:rPr>
            </w:pPr>
          </w:p>
        </w:tc>
        <w:tc>
          <w:tcPr>
            <w:tcW w:w="1134" w:type="dxa"/>
            <w:vMerge w:val="continue"/>
            <w:vAlign w:val="center"/>
          </w:tcPr>
          <w:p>
            <w:pPr>
              <w:jc w:val="center"/>
              <w:rPr>
                <w:rFonts w:ascii="Times New Roman" w:hAnsi="Times New Roman" w:eastAsia="仿宋_GB2312"/>
                <w:sz w:val="24"/>
              </w:rPr>
            </w:pPr>
          </w:p>
        </w:tc>
        <w:tc>
          <w:tcPr>
            <w:tcW w:w="709" w:type="dxa"/>
            <w:vMerge w:val="continue"/>
            <w:vAlign w:val="center"/>
          </w:tcPr>
          <w:p>
            <w:pPr>
              <w:jc w:val="center"/>
              <w:rPr>
                <w:rFonts w:ascii="Times New Roman" w:hAnsi="Times New Roman" w:eastAsia="仿宋_GB2312"/>
                <w:sz w:val="24"/>
              </w:rPr>
            </w:pPr>
          </w:p>
        </w:tc>
        <w:tc>
          <w:tcPr>
            <w:tcW w:w="968" w:type="dxa"/>
            <w:vMerge w:val="continue"/>
            <w:vAlign w:val="center"/>
          </w:tcPr>
          <w:p>
            <w:pPr>
              <w:jc w:val="center"/>
              <w:rPr>
                <w:rFonts w:ascii="Times New Roman" w:hAnsi="Times New Roman" w:eastAsia="仿宋_GB2312"/>
                <w:sz w:val="24"/>
              </w:rPr>
            </w:pPr>
          </w:p>
        </w:tc>
        <w:tc>
          <w:tcPr>
            <w:tcW w:w="1121" w:type="dxa"/>
            <w:vMerge w:val="continue"/>
            <w:tcBorders>
              <w:right w:val="single" w:color="auto" w:sz="4" w:space="0"/>
            </w:tcBorders>
            <w:vAlign w:val="center"/>
          </w:tcPr>
          <w:p>
            <w:pPr>
              <w:jc w:val="center"/>
              <w:rPr>
                <w:rFonts w:ascii="Times New Roman" w:hAnsi="Times New Roman" w:eastAsia="仿宋_GB2312"/>
                <w:sz w:val="24"/>
              </w:rPr>
            </w:pPr>
          </w:p>
        </w:tc>
        <w:tc>
          <w:tcPr>
            <w:tcW w:w="1116" w:type="dxa"/>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直接排放量</w:t>
            </w:r>
          </w:p>
          <w:p>
            <w:pPr>
              <w:jc w:val="center"/>
              <w:rPr>
                <w:rFonts w:ascii="Times New Roman" w:hAnsi="Times New Roman" w:eastAsia="仿宋_GB2312"/>
                <w:sz w:val="24"/>
              </w:rPr>
            </w:pPr>
            <w:r>
              <w:rPr>
                <w:rFonts w:ascii="Times New Roman" w:hAnsi="Times New Roman" w:eastAsia="仿宋_GB2312"/>
                <w:sz w:val="24"/>
              </w:rPr>
              <w:t>（tCO</w:t>
            </w:r>
            <w:r>
              <w:rPr>
                <w:rFonts w:ascii="Times New Roman" w:hAnsi="Times New Roman" w:eastAsia="仿宋_GB2312"/>
                <w:sz w:val="24"/>
                <w:vertAlign w:val="subscript"/>
              </w:rPr>
              <w:t>2</w:t>
            </w:r>
            <w:r>
              <w:rPr>
                <w:rFonts w:ascii="Times New Roman" w:hAnsi="Times New Roman" w:eastAsia="仿宋_GB2312"/>
                <w:sz w:val="24"/>
              </w:rPr>
              <w:t>）</w:t>
            </w:r>
          </w:p>
        </w:tc>
        <w:tc>
          <w:tcPr>
            <w:tcW w:w="1116" w:type="dxa"/>
            <w:vAlign w:val="center"/>
          </w:tcPr>
          <w:p>
            <w:pPr>
              <w:jc w:val="center"/>
              <w:rPr>
                <w:rFonts w:ascii="Times New Roman" w:hAnsi="Times New Roman" w:eastAsia="仿宋_GB2312"/>
                <w:sz w:val="24"/>
              </w:rPr>
            </w:pPr>
            <w:r>
              <w:rPr>
                <w:rFonts w:ascii="Times New Roman" w:hAnsi="Times New Roman" w:eastAsia="仿宋_GB2312"/>
                <w:sz w:val="24"/>
              </w:rPr>
              <w:t>间接排放量（tCO</w:t>
            </w:r>
            <w:r>
              <w:rPr>
                <w:rFonts w:ascii="Times New Roman" w:hAnsi="Times New Roman" w:eastAsia="仿宋_GB2312"/>
                <w:sz w:val="24"/>
                <w:vertAlign w:val="subscript"/>
              </w:rPr>
              <w:t>2</w:t>
            </w:r>
            <w:r>
              <w:rPr>
                <w:rFonts w:ascii="Times New Roman" w:hAnsi="Times New Roman" w:eastAsia="仿宋_GB2312"/>
                <w:sz w:val="24"/>
              </w:rPr>
              <w:t>）</w:t>
            </w:r>
          </w:p>
        </w:tc>
        <w:tc>
          <w:tcPr>
            <w:tcW w:w="1116" w:type="dxa"/>
            <w:vAlign w:val="center"/>
          </w:tcPr>
          <w:p>
            <w:pPr>
              <w:jc w:val="center"/>
              <w:rPr>
                <w:rFonts w:ascii="Times New Roman" w:hAnsi="Times New Roman" w:eastAsia="仿宋_GB2312"/>
                <w:sz w:val="24"/>
              </w:rPr>
            </w:pPr>
            <w:r>
              <w:rPr>
                <w:rFonts w:ascii="Times New Roman" w:hAnsi="Times New Roman" w:eastAsia="仿宋_GB2312"/>
                <w:sz w:val="24"/>
              </w:rPr>
              <w:t>总排放量（tCO</w:t>
            </w:r>
            <w:r>
              <w:rPr>
                <w:rFonts w:ascii="Times New Roman" w:hAnsi="Times New Roman" w:eastAsia="仿宋_GB2312"/>
                <w:sz w:val="24"/>
                <w:vertAlign w:val="subscript"/>
              </w:rPr>
              <w:t>2</w:t>
            </w: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45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1</w:t>
            </w:r>
          </w:p>
        </w:tc>
        <w:tc>
          <w:tcPr>
            <w:tcW w:w="78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1134" w:type="dxa"/>
            <w:vMerge w:val="restart"/>
            <w:vAlign w:val="center"/>
          </w:tcPr>
          <w:p>
            <w:pPr>
              <w:jc w:val="center"/>
              <w:rPr>
                <w:rFonts w:ascii="Times New Roman" w:hAnsi="Times New Roman" w:eastAsia="仿宋_GB2312"/>
                <w:sz w:val="24"/>
              </w:rPr>
            </w:pPr>
          </w:p>
        </w:tc>
        <w:tc>
          <w:tcPr>
            <w:tcW w:w="709"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2018</w:t>
            </w:r>
          </w:p>
        </w:tc>
        <w:tc>
          <w:tcPr>
            <w:tcW w:w="968"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2016年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100.00</w:t>
            </w:r>
          </w:p>
        </w:tc>
        <w:tc>
          <w:tcPr>
            <w:tcW w:w="1116" w:type="dxa"/>
          </w:tcPr>
          <w:p>
            <w:pPr>
              <w:rPr>
                <w:rFonts w:ascii="Times New Roman" w:hAnsi="Times New Roman" w:eastAsia="仿宋_GB2312"/>
                <w:sz w:val="24"/>
              </w:rPr>
            </w:pPr>
            <w:r>
              <w:rPr>
                <w:rFonts w:ascii="Times New Roman" w:hAnsi="Times New Roman" w:eastAsia="仿宋_GB2312"/>
                <w:sz w:val="24"/>
              </w:rPr>
              <w:t>20.00</w:t>
            </w:r>
          </w:p>
        </w:tc>
        <w:tc>
          <w:tcPr>
            <w:tcW w:w="1116" w:type="dxa"/>
          </w:tcPr>
          <w:p>
            <w:pPr>
              <w:rPr>
                <w:rFonts w:ascii="Times New Roman" w:hAnsi="Times New Roman" w:eastAsia="仿宋_GB2312"/>
                <w:sz w:val="24"/>
              </w:rPr>
            </w:pPr>
            <w:r>
              <w:rPr>
                <w:rFonts w:ascii="Times New Roman" w:hAnsi="Times New Roman" w:eastAsia="仿宋_GB2312"/>
                <w:sz w:val="24"/>
              </w:rPr>
              <w:t>120.00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56" w:type="dxa"/>
            <w:vMerge w:val="continue"/>
          </w:tcPr>
          <w:p>
            <w:pPr>
              <w:rPr>
                <w:rFonts w:ascii="Times New Roman" w:hAnsi="Times New Roman" w:eastAsia="仿宋_GB2312"/>
                <w:sz w:val="24"/>
              </w:rPr>
            </w:pPr>
          </w:p>
        </w:tc>
        <w:tc>
          <w:tcPr>
            <w:tcW w:w="786" w:type="dxa"/>
            <w:vMerge w:val="continue"/>
          </w:tcPr>
          <w:p>
            <w:pPr>
              <w:rPr>
                <w:rFonts w:ascii="Times New Roman" w:hAnsi="Times New Roman" w:eastAsia="仿宋_GB2312"/>
                <w:sz w:val="24"/>
              </w:rPr>
            </w:pPr>
          </w:p>
        </w:tc>
        <w:tc>
          <w:tcPr>
            <w:tcW w:w="1134" w:type="dxa"/>
            <w:vMerge w:val="continue"/>
          </w:tcPr>
          <w:p>
            <w:pPr>
              <w:rPr>
                <w:rFonts w:ascii="Times New Roman" w:hAnsi="Times New Roman" w:eastAsia="仿宋_GB2312"/>
                <w:sz w:val="24"/>
              </w:rPr>
            </w:pPr>
          </w:p>
        </w:tc>
        <w:tc>
          <w:tcPr>
            <w:tcW w:w="709" w:type="dxa"/>
            <w:vMerge w:val="continue"/>
          </w:tcPr>
          <w:p>
            <w:pPr>
              <w:rPr>
                <w:rFonts w:ascii="Times New Roman" w:hAnsi="Times New Roman" w:eastAsia="仿宋_GB2312"/>
                <w:sz w:val="24"/>
              </w:rPr>
            </w:pPr>
          </w:p>
        </w:tc>
        <w:tc>
          <w:tcPr>
            <w:tcW w:w="968" w:type="dxa"/>
            <w:vMerge w:val="continue"/>
          </w:tcPr>
          <w:p>
            <w:pPr>
              <w:rPr>
                <w:rFonts w:ascii="Times New Roman" w:hAnsi="Times New Roman" w:eastAsia="仿宋_GB2312"/>
                <w:sz w:val="24"/>
              </w:rPr>
            </w:pP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2017年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120.00</w:t>
            </w:r>
          </w:p>
        </w:tc>
        <w:tc>
          <w:tcPr>
            <w:tcW w:w="1116" w:type="dxa"/>
          </w:tcPr>
          <w:p>
            <w:pPr>
              <w:rPr>
                <w:rFonts w:ascii="Times New Roman" w:hAnsi="Times New Roman" w:eastAsia="仿宋_GB2312"/>
                <w:sz w:val="24"/>
              </w:rPr>
            </w:pPr>
            <w:r>
              <w:rPr>
                <w:rFonts w:ascii="Times New Roman" w:hAnsi="Times New Roman" w:eastAsia="仿宋_GB2312"/>
                <w:sz w:val="24"/>
              </w:rPr>
              <w:t>18.00</w:t>
            </w:r>
          </w:p>
        </w:tc>
        <w:tc>
          <w:tcPr>
            <w:tcW w:w="1116" w:type="dxa"/>
          </w:tcPr>
          <w:p>
            <w:pPr>
              <w:rPr>
                <w:rFonts w:ascii="Times New Roman" w:hAnsi="Times New Roman" w:eastAsia="仿宋_GB2312"/>
                <w:sz w:val="24"/>
              </w:rPr>
            </w:pPr>
            <w:r>
              <w:rPr>
                <w:rFonts w:ascii="Times New Roman" w:hAnsi="Times New Roman" w:eastAsia="仿宋_GB2312"/>
                <w:sz w:val="24"/>
              </w:rPr>
              <w:t>138.00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ascii="Times New Roman" w:hAnsi="Times New Roman" w:eastAsia="仿宋_GB2312"/>
                <w:sz w:val="24"/>
              </w:rPr>
            </w:pPr>
          </w:p>
        </w:tc>
        <w:tc>
          <w:tcPr>
            <w:tcW w:w="786" w:type="dxa"/>
            <w:vMerge w:val="continue"/>
          </w:tcPr>
          <w:p>
            <w:pPr>
              <w:rPr>
                <w:rFonts w:ascii="Times New Roman" w:hAnsi="Times New Roman" w:eastAsia="仿宋_GB2312"/>
                <w:sz w:val="24"/>
              </w:rPr>
            </w:pPr>
          </w:p>
        </w:tc>
        <w:tc>
          <w:tcPr>
            <w:tcW w:w="1134" w:type="dxa"/>
            <w:vMerge w:val="continue"/>
          </w:tcPr>
          <w:p>
            <w:pPr>
              <w:rPr>
                <w:rFonts w:ascii="Times New Roman" w:hAnsi="Times New Roman" w:eastAsia="仿宋_GB2312"/>
                <w:sz w:val="24"/>
              </w:rPr>
            </w:pPr>
          </w:p>
        </w:tc>
        <w:tc>
          <w:tcPr>
            <w:tcW w:w="709" w:type="dxa"/>
            <w:vMerge w:val="continue"/>
          </w:tcPr>
          <w:p>
            <w:pPr>
              <w:rPr>
                <w:rFonts w:ascii="Times New Roman" w:hAnsi="Times New Roman" w:eastAsia="仿宋_GB2312"/>
                <w:sz w:val="24"/>
              </w:rPr>
            </w:pPr>
          </w:p>
        </w:tc>
        <w:tc>
          <w:tcPr>
            <w:tcW w:w="968" w:type="dxa"/>
            <w:vMerge w:val="continue"/>
          </w:tcPr>
          <w:p>
            <w:pPr>
              <w:rPr>
                <w:rFonts w:ascii="Times New Roman" w:hAnsi="Times New Roman" w:eastAsia="仿宋_GB2312"/>
                <w:sz w:val="24"/>
              </w:rPr>
            </w:pP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2018年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60.00</w:t>
            </w:r>
          </w:p>
        </w:tc>
        <w:tc>
          <w:tcPr>
            <w:tcW w:w="1116" w:type="dxa"/>
          </w:tcPr>
          <w:p>
            <w:pPr>
              <w:rPr>
                <w:rFonts w:ascii="Times New Roman" w:hAnsi="Times New Roman" w:eastAsia="仿宋_GB2312"/>
                <w:sz w:val="24"/>
              </w:rPr>
            </w:pPr>
            <w:r>
              <w:rPr>
                <w:rFonts w:ascii="Times New Roman" w:hAnsi="Times New Roman" w:eastAsia="仿宋_GB2312"/>
                <w:sz w:val="24"/>
              </w:rPr>
              <w:t>10.00</w:t>
            </w:r>
          </w:p>
        </w:tc>
        <w:tc>
          <w:tcPr>
            <w:tcW w:w="1116" w:type="dxa"/>
          </w:tcPr>
          <w:p>
            <w:pPr>
              <w:rPr>
                <w:rFonts w:ascii="Times New Roman" w:hAnsi="Times New Roman" w:eastAsia="仿宋_GB2312"/>
                <w:sz w:val="24"/>
              </w:rPr>
            </w:pPr>
            <w:r>
              <w:rPr>
                <w:rFonts w:ascii="Times New Roman" w:hAnsi="Times New Roman" w:eastAsia="仿宋_GB2312"/>
                <w:sz w:val="24"/>
              </w:rPr>
              <w:t>70.00</w:t>
            </w:r>
          </w:p>
        </w:tc>
      </w:tr>
    </w:tbl>
    <w:p>
      <w:pPr>
        <w:spacing w:after="0" w:line="560" w:lineRule="exact"/>
        <w:ind w:firstLine="640" w:firstLineChars="200"/>
        <w:rPr>
          <w:rFonts w:ascii="Times New Roman" w:hAnsi="Times New Roman" w:eastAsia="仿宋_GB2312"/>
          <w:sz w:val="32"/>
          <w:szCs w:val="32"/>
        </w:rPr>
      </w:pP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排放单位新增设施主要为生产用电设备，其排放量信息见下表：</w:t>
      </w:r>
    </w:p>
    <w:p>
      <w:pPr>
        <w:spacing w:after="0" w:line="560" w:lineRule="exact"/>
        <w:jc w:val="center"/>
        <w:rPr>
          <w:rFonts w:ascii="Times New Roman" w:hAnsi="Times New Roman" w:eastAsia="仿宋_GB2312"/>
          <w:sz w:val="24"/>
        </w:rPr>
      </w:pPr>
    </w:p>
    <w:p>
      <w:pPr>
        <w:spacing w:after="0" w:line="560" w:lineRule="exact"/>
        <w:jc w:val="center"/>
        <w:rPr>
          <w:rFonts w:ascii="Times New Roman" w:hAnsi="Times New Roman" w:eastAsia="仿宋_GB2312"/>
          <w:sz w:val="24"/>
        </w:rPr>
      </w:pPr>
    </w:p>
    <w:p>
      <w:pPr>
        <w:spacing w:after="0" w:line="560" w:lineRule="exact"/>
        <w:jc w:val="center"/>
        <w:rPr>
          <w:rFonts w:ascii="Times New Roman" w:hAnsi="Times New Roman" w:eastAsia="仿宋_GB2312"/>
          <w:sz w:val="24"/>
        </w:rPr>
      </w:pPr>
    </w:p>
    <w:p>
      <w:pPr>
        <w:spacing w:after="0" w:line="560" w:lineRule="exact"/>
        <w:jc w:val="center"/>
        <w:rPr>
          <w:rFonts w:ascii="Times New Roman" w:hAnsi="Times New Roman" w:eastAsia="仿宋_GB2312"/>
          <w:sz w:val="24"/>
        </w:rPr>
      </w:pPr>
      <w:r>
        <w:rPr>
          <w:rFonts w:ascii="Times New Roman" w:hAnsi="Times New Roman" w:eastAsia="仿宋_GB2312"/>
          <w:sz w:val="24"/>
        </w:rPr>
        <w:t>表XX  新增设施信息表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1293"/>
        <w:gridCol w:w="2333"/>
        <w:gridCol w:w="1650"/>
        <w:gridCol w:w="1268"/>
        <w:gridCol w:w="1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714"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设施新增年份</w:t>
            </w:r>
          </w:p>
        </w:tc>
        <w:tc>
          <w:tcPr>
            <w:tcW w:w="1288"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新增设施类型</w:t>
            </w:r>
          </w:p>
        </w:tc>
        <w:tc>
          <w:tcPr>
            <w:tcW w:w="911"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是否替代既有设施，被替代既有设施类型</w:t>
            </w:r>
          </w:p>
        </w:tc>
        <w:tc>
          <w:tcPr>
            <w:tcW w:w="700"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新增设施排放量（吨）</w:t>
            </w:r>
          </w:p>
        </w:tc>
        <w:tc>
          <w:tcPr>
            <w:tcW w:w="835" w:type="pct"/>
            <w:vAlign w:val="center"/>
          </w:tcPr>
          <w:p>
            <w:pPr>
              <w:tabs>
                <w:tab w:val="left" w:pos="1701"/>
              </w:tabs>
              <w:jc w:val="center"/>
              <w:rPr>
                <w:rFonts w:ascii="Times New Roman" w:hAnsi="Times New Roman" w:eastAsia="仿宋_GB2312"/>
                <w:color w:val="000000"/>
                <w:sz w:val="24"/>
              </w:rPr>
            </w:pPr>
            <w:r>
              <w:rPr>
                <w:rFonts w:hint="eastAsia" w:ascii="Times New Roman" w:hAnsi="Times New Roman" w:eastAsia="仿宋_GB2312"/>
                <w:color w:val="000000"/>
                <w:sz w:val="24"/>
              </w:rPr>
              <w:t>替代既有设施的新增排放量(吨)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1</w:t>
            </w:r>
          </w:p>
        </w:tc>
        <w:tc>
          <w:tcPr>
            <w:tcW w:w="714"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2019</w:t>
            </w:r>
          </w:p>
        </w:tc>
        <w:tc>
          <w:tcPr>
            <w:tcW w:w="1288"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xxx设备</w:t>
            </w:r>
          </w:p>
        </w:tc>
        <w:tc>
          <w:tcPr>
            <w:tcW w:w="911"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否</w:t>
            </w:r>
          </w:p>
        </w:tc>
        <w:tc>
          <w:tcPr>
            <w:tcW w:w="700"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200.00</w:t>
            </w:r>
          </w:p>
        </w:tc>
        <w:tc>
          <w:tcPr>
            <w:tcW w:w="835"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pPr>
              <w:jc w:val="center"/>
              <w:rPr>
                <w:rFonts w:ascii="Times New Roman" w:hAnsi="Times New Roman" w:eastAsia="仿宋_GB2312"/>
                <w:sz w:val="24"/>
              </w:rPr>
            </w:pPr>
            <w:r>
              <w:rPr>
                <w:rFonts w:ascii="Times New Roman" w:hAnsi="Times New Roman" w:eastAsia="仿宋_GB2312"/>
                <w:color w:val="000000"/>
                <w:sz w:val="24"/>
              </w:rPr>
              <w:t>2</w:t>
            </w:r>
          </w:p>
        </w:tc>
        <w:tc>
          <w:tcPr>
            <w:tcW w:w="714" w:type="pct"/>
            <w:vAlign w:val="center"/>
          </w:tcPr>
          <w:p>
            <w:pPr>
              <w:jc w:val="center"/>
              <w:rPr>
                <w:rFonts w:ascii="Times New Roman" w:hAnsi="Times New Roman" w:eastAsia="仿宋_GB2312"/>
                <w:sz w:val="24"/>
              </w:rPr>
            </w:pPr>
            <w:r>
              <w:rPr>
                <w:rFonts w:ascii="Times New Roman" w:hAnsi="Times New Roman" w:eastAsia="仿宋_GB2312"/>
                <w:sz w:val="24"/>
              </w:rPr>
              <w:t>2019</w:t>
            </w:r>
          </w:p>
        </w:tc>
        <w:tc>
          <w:tcPr>
            <w:tcW w:w="1288" w:type="pct"/>
            <w:vAlign w:val="center"/>
          </w:tcPr>
          <w:p>
            <w:pPr>
              <w:jc w:val="center"/>
              <w:rPr>
                <w:rFonts w:ascii="Times New Roman" w:hAnsi="Times New Roman" w:eastAsia="仿宋_GB2312"/>
                <w:sz w:val="24"/>
              </w:rPr>
            </w:pPr>
            <w:r>
              <w:rPr>
                <w:rFonts w:ascii="Times New Roman" w:hAnsi="Times New Roman" w:eastAsia="仿宋_GB2312"/>
                <w:color w:val="000000"/>
                <w:sz w:val="24"/>
              </w:rPr>
              <w:t>xxx设备</w:t>
            </w:r>
          </w:p>
        </w:tc>
        <w:tc>
          <w:tcPr>
            <w:tcW w:w="911"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700" w:type="pct"/>
            <w:vAlign w:val="center"/>
          </w:tcPr>
          <w:p>
            <w:pPr>
              <w:jc w:val="center"/>
              <w:rPr>
                <w:rFonts w:ascii="Times New Roman" w:hAnsi="Times New Roman" w:eastAsia="仿宋_GB2312"/>
                <w:sz w:val="24"/>
              </w:rPr>
            </w:pPr>
            <w:r>
              <w:rPr>
                <w:rFonts w:ascii="Times New Roman" w:hAnsi="Times New Roman" w:eastAsia="仿宋_GB2312"/>
                <w:sz w:val="24"/>
              </w:rPr>
              <w:t>800.00</w:t>
            </w:r>
          </w:p>
        </w:tc>
        <w:tc>
          <w:tcPr>
            <w:tcW w:w="835" w:type="pct"/>
            <w:vAlign w:val="center"/>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vAlign w:val="center"/>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3</w:t>
            </w:r>
          </w:p>
        </w:tc>
        <w:tc>
          <w:tcPr>
            <w:tcW w:w="714"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r>
              <w:rPr>
                <w:rFonts w:ascii="Times New Roman" w:hAnsi="Times New Roman" w:eastAsia="仿宋_GB2312"/>
                <w:sz w:val="24"/>
              </w:rPr>
              <w:t>020</w:t>
            </w:r>
          </w:p>
        </w:tc>
        <w:tc>
          <w:tcPr>
            <w:tcW w:w="1288" w:type="pct"/>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xxx设备</w:t>
            </w:r>
          </w:p>
        </w:tc>
        <w:tc>
          <w:tcPr>
            <w:tcW w:w="911"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700" w:type="pc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835"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Pr>
          <w:p>
            <w:pPr>
              <w:jc w:val="center"/>
              <w:rPr>
                <w:rFonts w:ascii="Times New Roman" w:hAnsi="Times New Roman" w:eastAsia="仿宋_GB2312"/>
                <w:sz w:val="24"/>
              </w:rPr>
            </w:pPr>
            <w:r>
              <w:rPr>
                <w:rFonts w:ascii="Times New Roman" w:hAnsi="Times New Roman" w:eastAsia="仿宋_GB2312"/>
                <w:color w:val="000000"/>
                <w:sz w:val="24"/>
              </w:rPr>
              <w:t>合计</w:t>
            </w:r>
          </w:p>
        </w:tc>
        <w:tc>
          <w:tcPr>
            <w:tcW w:w="714" w:type="pct"/>
          </w:tcPr>
          <w:p>
            <w:pPr>
              <w:rPr>
                <w:rFonts w:ascii="Times New Roman" w:hAnsi="Times New Roman" w:eastAsia="仿宋_GB2312"/>
                <w:sz w:val="24"/>
              </w:rPr>
            </w:pPr>
          </w:p>
        </w:tc>
        <w:tc>
          <w:tcPr>
            <w:tcW w:w="1288" w:type="pct"/>
          </w:tcPr>
          <w:p>
            <w:pPr>
              <w:rPr>
                <w:rFonts w:ascii="Times New Roman" w:hAnsi="Times New Roman" w:eastAsia="仿宋_GB2312"/>
                <w:sz w:val="24"/>
              </w:rPr>
            </w:pPr>
          </w:p>
        </w:tc>
        <w:tc>
          <w:tcPr>
            <w:tcW w:w="911" w:type="pct"/>
          </w:tcPr>
          <w:p>
            <w:pPr>
              <w:rPr>
                <w:rFonts w:ascii="Times New Roman" w:hAnsi="Times New Roman" w:eastAsia="仿宋_GB2312"/>
                <w:sz w:val="24"/>
              </w:rPr>
            </w:pPr>
          </w:p>
        </w:tc>
        <w:tc>
          <w:tcPr>
            <w:tcW w:w="700" w:type="pc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835" w:type="pct"/>
          </w:tcPr>
          <w:p>
            <w:pP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pPr>
              <w:rPr>
                <w:rFonts w:ascii="Times New Roman" w:hAnsi="Times New Roman" w:eastAsia="仿宋_GB2312"/>
                <w:sz w:val="24"/>
              </w:rPr>
            </w:pPr>
            <w:r>
              <w:rPr>
                <w:rFonts w:ascii="Times New Roman" w:hAnsi="Times New Roman" w:eastAsia="仿宋_GB2312"/>
                <w:sz w:val="24"/>
              </w:rPr>
              <w:t>备注：</w:t>
            </w:r>
          </w:p>
        </w:tc>
      </w:tr>
    </w:tbl>
    <w:p>
      <w:pPr>
        <w:spacing w:after="0" w:line="560" w:lineRule="exact"/>
        <w:ind w:firstLine="465"/>
        <w:rPr>
          <w:rFonts w:ascii="Times New Roman" w:hAnsi="Times New Roman" w:eastAsia="仿宋_GB2312"/>
          <w:sz w:val="32"/>
          <w:szCs w:val="32"/>
        </w:rPr>
      </w:pPr>
      <w:r>
        <w:rPr>
          <w:rFonts w:ascii="Times New Roman" w:hAnsi="Times New Roman" w:eastAsia="仿宋_GB2312"/>
          <w:sz w:val="32"/>
          <w:szCs w:val="32"/>
        </w:rPr>
        <w:t>新增设施排放量为XXX吨，是基准年份排放量的XXX%，新增设施对应的产值为xxxx万元。此信息供新增设施发放配额参考。</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 核查过程未覆盖的问题描述</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由于天然气表和电表分别为燃气公司及电力公司管控，因此未能核查这些仪表的检定信息。</w:t>
      </w:r>
    </w:p>
    <w:p>
      <w:pPr>
        <w:spacing w:after="0" w:line="560" w:lineRule="exact"/>
        <w:ind w:firstLine="640" w:firstLineChars="200"/>
        <w:rPr>
          <w:rFonts w:ascii="Times New Roman" w:hAnsi="Times New Roman" w:eastAsia="仿宋_GB2312"/>
          <w:sz w:val="32"/>
          <w:szCs w:val="32"/>
        </w:rPr>
        <w:sectPr>
          <w:pgSz w:w="11906" w:h="16838"/>
          <w:pgMar w:top="2098" w:right="1474" w:bottom="1984" w:left="1587" w:header="851" w:footer="1587" w:gutter="0"/>
          <w:paperSrc/>
          <w:pgNumType w:fmt="decimal"/>
          <w:cols w:space="0" w:num="1"/>
          <w:rtlGutter w:val="0"/>
          <w:docGrid w:type="lines" w:linePitch="312" w:charSpace="0"/>
        </w:sectPr>
      </w:pPr>
    </w:p>
    <w:p>
      <w:pPr>
        <w:pStyle w:val="4"/>
        <w:spacing w:before="0" w:after="0" w:line="56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道路运输业企业</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
          <w:sz w:val="32"/>
          <w:szCs w:val="32"/>
        </w:rPr>
        <w:t>xxxx公司（以下简称排放单位）委托xxx公司开展XXXX年</w:t>
      </w:r>
      <w:r>
        <w:rPr>
          <w:rFonts w:ascii="Times New Roman" w:hAnsi="Times New Roman" w:eastAsia="仿宋_GB2312"/>
          <w:sz w:val="32"/>
          <w:szCs w:val="32"/>
        </w:rPr>
        <w:t>度二氧化碳排放的核查工作。核查范围包括排放单位所有在北京市辖区内的运营系统以及直接为营运车辆服务的辅助系统导致的二氧化碳直接排放和二氧化碳间接排放。</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通过文件评审、现场访问、核查报告编写及内部技术复核，核查组对排放单位XXXX年度二氧化碳排放报告形成如下核查结论：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 核算、报告与方法学的符合性</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核查组确认所有不符合已全部关闭，排放单位的核算与报告均符合方法学</w:t>
      </w:r>
      <w:r>
        <w:rPr>
          <w:rFonts w:hint="eastAsia" w:ascii="Times New Roman" w:hAnsi="Times New Roman" w:eastAsia="仿宋_GB2312"/>
          <w:sz w:val="32"/>
          <w:szCs w:val="32"/>
        </w:rPr>
        <w:t>《二氧化碳排放核算和报告要求道路运输业》（DB11/T 1786-2020）</w:t>
      </w:r>
      <w:r>
        <w:rPr>
          <w:rFonts w:ascii="Times New Roman" w:hAnsi="Times New Roman" w:eastAsia="仿宋_GB2312"/>
          <w:sz w:val="32"/>
          <w:szCs w:val="32"/>
        </w:rPr>
        <w:t>的要求，核查组对本排放报告出具肯定的核查结论。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 本年度排放量及活动水平数据的声明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经核查排放量与最终排放报告中的一致。经核查的排放量如下：</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2014"/>
        <w:gridCol w:w="1773"/>
        <w:gridCol w:w="1863"/>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pct"/>
            <w:vAlign w:val="center"/>
          </w:tcPr>
          <w:p>
            <w:pPr>
              <w:jc w:val="center"/>
              <w:rPr>
                <w:rFonts w:ascii="Times New Roman" w:hAnsi="Times New Roman" w:eastAsia="仿宋_GB2312"/>
                <w:sz w:val="21"/>
                <w:szCs w:val="21"/>
              </w:rPr>
            </w:pPr>
            <w:r>
              <w:rPr>
                <w:rFonts w:hint="eastAsia" w:ascii="Times New Roman" w:hAnsi="Times New Roman" w:eastAsia="仿宋_GB2312"/>
                <w:sz w:val="21"/>
                <w:szCs w:val="21"/>
              </w:rPr>
              <w:t>排放设施</w:t>
            </w:r>
          </w:p>
        </w:tc>
        <w:tc>
          <w:tcPr>
            <w:tcW w:w="1111" w:type="pct"/>
            <w:vAlign w:val="center"/>
          </w:tcPr>
          <w:p>
            <w:pPr>
              <w:jc w:val="center"/>
              <w:rPr>
                <w:rFonts w:ascii="Times New Roman" w:hAnsi="Times New Roman" w:eastAsia="仿宋_GB2312"/>
                <w:sz w:val="21"/>
                <w:szCs w:val="21"/>
              </w:rPr>
            </w:pPr>
            <w:r>
              <w:rPr>
                <w:rFonts w:hint="eastAsia" w:ascii="Times New Roman" w:hAnsi="Times New Roman" w:eastAsia="仿宋_GB2312"/>
                <w:sz w:val="21"/>
                <w:szCs w:val="21"/>
              </w:rPr>
              <w:t>化石燃料燃烧排放量</w:t>
            </w:r>
          </w:p>
          <w:p>
            <w:pPr>
              <w:jc w:val="center"/>
              <w:rPr>
                <w:rFonts w:ascii="Times New Roman" w:hAnsi="Times New Roman" w:eastAsia="仿宋_GB2312"/>
                <w:sz w:val="21"/>
                <w:szCs w:val="21"/>
              </w:rPr>
            </w:pPr>
            <w:r>
              <w:rPr>
                <w:rFonts w:hint="eastAsia" w:ascii="Times New Roman" w:hAnsi="Times New Roman" w:eastAsia="仿宋_GB2312"/>
                <w:sz w:val="21"/>
                <w:szCs w:val="21"/>
              </w:rPr>
              <w:t>（</w:t>
            </w:r>
            <w:r>
              <w:rPr>
                <w:rFonts w:ascii="Times New Roman" w:hAnsi="Times New Roman" w:eastAsia="仿宋_GB2312"/>
                <w:sz w:val="21"/>
                <w:szCs w:val="21"/>
              </w:rPr>
              <w:t>tCO</w:t>
            </w:r>
            <w:r>
              <w:rPr>
                <w:rFonts w:ascii="Times New Roman" w:hAnsi="Times New Roman" w:eastAsia="仿宋_GB2312"/>
                <w:sz w:val="21"/>
                <w:szCs w:val="21"/>
                <w:vertAlign w:val="subscript"/>
              </w:rPr>
              <w:t>2</w:t>
            </w:r>
            <w:r>
              <w:rPr>
                <w:rFonts w:hint="eastAsia" w:ascii="Times New Roman" w:hAnsi="Times New Roman" w:eastAsia="仿宋_GB2312"/>
                <w:sz w:val="21"/>
                <w:szCs w:val="21"/>
              </w:rPr>
              <w:t>）</w:t>
            </w:r>
          </w:p>
        </w:tc>
        <w:tc>
          <w:tcPr>
            <w:tcW w:w="978" w:type="pct"/>
            <w:vAlign w:val="center"/>
          </w:tcPr>
          <w:p>
            <w:pPr>
              <w:jc w:val="center"/>
              <w:rPr>
                <w:rFonts w:ascii="Times New Roman" w:hAnsi="Times New Roman" w:eastAsia="仿宋_GB2312"/>
                <w:sz w:val="21"/>
                <w:szCs w:val="21"/>
              </w:rPr>
            </w:pPr>
            <w:r>
              <w:rPr>
                <w:rFonts w:hint="eastAsia" w:ascii="Times New Roman" w:hAnsi="Times New Roman" w:eastAsia="仿宋_GB2312"/>
                <w:sz w:val="21"/>
                <w:szCs w:val="21"/>
              </w:rPr>
              <w:t>过程排放量</w:t>
            </w:r>
          </w:p>
          <w:p>
            <w:pPr>
              <w:jc w:val="center"/>
              <w:rPr>
                <w:rFonts w:ascii="Times New Roman" w:hAnsi="Times New Roman" w:eastAsia="仿宋_GB2312"/>
                <w:sz w:val="21"/>
                <w:szCs w:val="21"/>
              </w:rPr>
            </w:pPr>
            <w:r>
              <w:rPr>
                <w:rFonts w:hint="eastAsia" w:ascii="Times New Roman" w:hAnsi="Times New Roman" w:eastAsia="仿宋_GB2312"/>
                <w:sz w:val="21"/>
                <w:szCs w:val="21"/>
              </w:rPr>
              <w:t>（</w:t>
            </w:r>
            <w:r>
              <w:rPr>
                <w:rFonts w:ascii="Times New Roman" w:hAnsi="Times New Roman" w:eastAsia="仿宋_GB2312"/>
                <w:sz w:val="21"/>
                <w:szCs w:val="21"/>
              </w:rPr>
              <w:t>tCO</w:t>
            </w:r>
            <w:r>
              <w:rPr>
                <w:rFonts w:ascii="Times New Roman" w:hAnsi="Times New Roman" w:eastAsia="仿宋_GB2312"/>
                <w:sz w:val="21"/>
                <w:szCs w:val="21"/>
                <w:vertAlign w:val="subscript"/>
              </w:rPr>
              <w:t>2</w:t>
            </w:r>
            <w:r>
              <w:rPr>
                <w:rFonts w:hint="eastAsia" w:ascii="Times New Roman" w:hAnsi="Times New Roman" w:eastAsia="仿宋_GB2312"/>
                <w:sz w:val="21"/>
                <w:szCs w:val="21"/>
              </w:rPr>
              <w:t>）</w:t>
            </w:r>
          </w:p>
        </w:tc>
        <w:tc>
          <w:tcPr>
            <w:tcW w:w="1028" w:type="pct"/>
            <w:vAlign w:val="center"/>
          </w:tcPr>
          <w:p>
            <w:pPr>
              <w:jc w:val="center"/>
              <w:rPr>
                <w:rFonts w:ascii="Times New Roman" w:hAnsi="Times New Roman" w:eastAsia="仿宋_GB2312"/>
                <w:sz w:val="21"/>
                <w:szCs w:val="21"/>
              </w:rPr>
            </w:pPr>
            <w:r>
              <w:rPr>
                <w:rFonts w:hint="eastAsia" w:ascii="Times New Roman" w:hAnsi="Times New Roman" w:eastAsia="仿宋_GB2312"/>
                <w:sz w:val="21"/>
                <w:szCs w:val="21"/>
              </w:rPr>
              <w:t>间接排放量</w:t>
            </w:r>
          </w:p>
          <w:p>
            <w:pPr>
              <w:jc w:val="center"/>
              <w:rPr>
                <w:rFonts w:ascii="Times New Roman" w:hAnsi="Times New Roman" w:eastAsia="仿宋_GB2312"/>
                <w:sz w:val="21"/>
                <w:szCs w:val="21"/>
              </w:rPr>
            </w:pPr>
            <w:r>
              <w:rPr>
                <w:rFonts w:hint="eastAsia" w:ascii="Times New Roman" w:hAnsi="Times New Roman" w:eastAsia="仿宋_GB2312"/>
                <w:sz w:val="21"/>
                <w:szCs w:val="21"/>
              </w:rPr>
              <w:t>（</w:t>
            </w:r>
            <w:r>
              <w:rPr>
                <w:rFonts w:ascii="Times New Roman" w:hAnsi="Times New Roman" w:eastAsia="仿宋_GB2312"/>
                <w:sz w:val="21"/>
                <w:szCs w:val="21"/>
              </w:rPr>
              <w:t>tCO</w:t>
            </w:r>
            <w:r>
              <w:rPr>
                <w:rFonts w:ascii="Times New Roman" w:hAnsi="Times New Roman" w:eastAsia="仿宋_GB2312"/>
                <w:sz w:val="21"/>
                <w:szCs w:val="21"/>
                <w:vertAlign w:val="subscript"/>
              </w:rPr>
              <w:t>2</w:t>
            </w:r>
            <w:r>
              <w:rPr>
                <w:rFonts w:hint="eastAsia" w:ascii="Times New Roman" w:hAnsi="Times New Roman" w:eastAsia="仿宋_GB2312"/>
                <w:sz w:val="21"/>
                <w:szCs w:val="21"/>
              </w:rPr>
              <w:t>）</w:t>
            </w:r>
          </w:p>
        </w:tc>
        <w:tc>
          <w:tcPr>
            <w:tcW w:w="990" w:type="pct"/>
            <w:vAlign w:val="center"/>
          </w:tcPr>
          <w:p>
            <w:pPr>
              <w:jc w:val="center"/>
              <w:rPr>
                <w:rFonts w:ascii="Times New Roman" w:hAnsi="Times New Roman" w:eastAsia="仿宋_GB2312"/>
                <w:sz w:val="21"/>
                <w:szCs w:val="21"/>
              </w:rPr>
            </w:pPr>
            <w:r>
              <w:rPr>
                <w:rFonts w:hint="eastAsia" w:ascii="Times New Roman" w:hAnsi="Times New Roman" w:eastAsia="仿宋_GB2312"/>
                <w:sz w:val="21"/>
                <w:szCs w:val="21"/>
              </w:rPr>
              <w:t>总排放量</w:t>
            </w:r>
          </w:p>
          <w:p>
            <w:pPr>
              <w:jc w:val="center"/>
              <w:rPr>
                <w:rFonts w:ascii="Times New Roman" w:hAnsi="Times New Roman" w:eastAsia="仿宋_GB2312"/>
                <w:sz w:val="21"/>
                <w:szCs w:val="21"/>
              </w:rPr>
            </w:pPr>
            <w:r>
              <w:rPr>
                <w:rFonts w:hint="eastAsia" w:ascii="Times New Roman" w:hAnsi="Times New Roman" w:eastAsia="仿宋_GB2312"/>
                <w:sz w:val="21"/>
                <w:szCs w:val="21"/>
              </w:rPr>
              <w:t>（</w:t>
            </w:r>
            <w:r>
              <w:rPr>
                <w:rFonts w:ascii="Times New Roman" w:hAnsi="Times New Roman" w:eastAsia="仿宋_GB2312"/>
                <w:sz w:val="21"/>
                <w:szCs w:val="21"/>
              </w:rPr>
              <w:t>tCO</w:t>
            </w:r>
            <w:r>
              <w:rPr>
                <w:rFonts w:ascii="Times New Roman" w:hAnsi="Times New Roman" w:eastAsia="仿宋_GB2312"/>
                <w:sz w:val="21"/>
                <w:szCs w:val="21"/>
                <w:vertAlign w:val="subscript"/>
              </w:rPr>
              <w:t>2</w:t>
            </w:r>
            <w:r>
              <w:rPr>
                <w:rFonts w:hint="eastAsia" w:ascii="Times New Roman" w:hAnsi="Times New Roman" w:eastAsia="仿宋_GB231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pct"/>
            <w:vAlign w:val="center"/>
          </w:tcPr>
          <w:p>
            <w:pPr>
              <w:jc w:val="center"/>
              <w:rPr>
                <w:rFonts w:ascii="Times New Roman" w:hAnsi="Times New Roman" w:eastAsia="仿宋_GB2312"/>
                <w:sz w:val="24"/>
              </w:rPr>
            </w:pPr>
            <w:r>
              <w:rPr>
                <w:rFonts w:ascii="Times New Roman" w:hAnsi="Times New Roman" w:eastAsia="仿宋_GB2312"/>
                <w:sz w:val="24"/>
              </w:rPr>
              <w:t>移动设施</w:t>
            </w:r>
          </w:p>
        </w:tc>
        <w:tc>
          <w:tcPr>
            <w:tcW w:w="1894"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34000.00 </w:t>
            </w:r>
          </w:p>
        </w:tc>
        <w:tc>
          <w:tcPr>
            <w:tcW w:w="1667"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20.00 </w:t>
            </w:r>
          </w:p>
        </w:tc>
        <w:tc>
          <w:tcPr>
            <w:tcW w:w="1753"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1000.00 </w:t>
            </w:r>
          </w:p>
        </w:tc>
        <w:tc>
          <w:tcPr>
            <w:tcW w:w="1688"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35020.00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pct"/>
            <w:vAlign w:val="center"/>
          </w:tcPr>
          <w:p>
            <w:pPr>
              <w:jc w:val="center"/>
              <w:rPr>
                <w:rFonts w:ascii="Times New Roman" w:hAnsi="Times New Roman" w:eastAsia="仿宋_GB2312"/>
                <w:sz w:val="24"/>
              </w:rPr>
            </w:pPr>
            <w:r>
              <w:rPr>
                <w:rFonts w:ascii="Times New Roman" w:hAnsi="Times New Roman" w:eastAsia="仿宋_GB2312"/>
                <w:sz w:val="24"/>
              </w:rPr>
              <w:t>固定设施</w:t>
            </w:r>
          </w:p>
        </w:tc>
        <w:tc>
          <w:tcPr>
            <w:tcW w:w="1894"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0.00 </w:t>
            </w:r>
          </w:p>
        </w:tc>
        <w:tc>
          <w:tcPr>
            <w:tcW w:w="1667"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0.00 </w:t>
            </w:r>
          </w:p>
        </w:tc>
        <w:tc>
          <w:tcPr>
            <w:tcW w:w="1753"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300.00 </w:t>
            </w:r>
          </w:p>
        </w:tc>
        <w:tc>
          <w:tcPr>
            <w:tcW w:w="1688"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322.20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pct"/>
            <w:vAlign w:val="center"/>
          </w:tcPr>
          <w:p>
            <w:pPr>
              <w:jc w:val="center"/>
              <w:rPr>
                <w:rFonts w:ascii="Times New Roman" w:hAnsi="Times New Roman" w:eastAsia="仿宋_GB2312"/>
                <w:sz w:val="24"/>
              </w:rPr>
            </w:pPr>
            <w:r>
              <w:rPr>
                <w:rFonts w:ascii="Times New Roman" w:hAnsi="Times New Roman" w:eastAsia="仿宋_GB2312"/>
                <w:sz w:val="24"/>
              </w:rPr>
              <w:t>合计</w:t>
            </w:r>
          </w:p>
        </w:tc>
        <w:tc>
          <w:tcPr>
            <w:tcW w:w="1894"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34000.00 </w:t>
            </w:r>
          </w:p>
        </w:tc>
        <w:tc>
          <w:tcPr>
            <w:tcW w:w="1667"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20.00 </w:t>
            </w:r>
          </w:p>
        </w:tc>
        <w:tc>
          <w:tcPr>
            <w:tcW w:w="1753" w:type="dxa"/>
            <w:vAlign w:val="center"/>
          </w:tcPr>
          <w:p>
            <w:pPr>
              <w:jc w:val="center"/>
              <w:textAlignment w:val="center"/>
              <w:rPr>
                <w:rFonts w:ascii="Times New Roman" w:hAnsi="Times New Roman" w:eastAsia="仿宋_GB2312"/>
                <w:sz w:val="24"/>
              </w:rPr>
            </w:pPr>
            <w:r>
              <w:rPr>
                <w:rFonts w:ascii="Times New Roman" w:hAnsi="Times New Roman"/>
                <w:color w:val="000000"/>
                <w:sz w:val="24"/>
              </w:rPr>
              <w:t xml:space="preserve">1300.00 </w:t>
            </w:r>
          </w:p>
        </w:tc>
        <w:tc>
          <w:tcPr>
            <w:tcW w:w="1688" w:type="dxa"/>
          </w:tcPr>
          <w:p>
            <w:pPr>
              <w:jc w:val="center"/>
              <w:textAlignment w:val="top"/>
              <w:rPr>
                <w:rFonts w:ascii="Times New Roman" w:hAnsi="Times New Roman" w:eastAsia="仿宋_GB2312"/>
                <w:sz w:val="24"/>
              </w:rPr>
            </w:pPr>
            <w:r>
              <w:rPr>
                <w:rFonts w:ascii="Times New Roman" w:hAnsi="Times New Roman"/>
                <w:color w:val="000000"/>
                <w:sz w:val="24"/>
              </w:rPr>
              <w:t xml:space="preserve">35320.00 </w:t>
            </w:r>
          </w:p>
        </w:tc>
      </w:tr>
    </w:tbl>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排放单位固定设施建筑面积和移动设施的运输总里程与最终排放报告中一致。经核查的固定设施建筑面积为xxxx平方米，移动设施运输总里程为xxxx万公里。</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3.排放量排放量及活动水平的原因说明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排放单位本年度排放量相比上年度排放量增加了4008.00吨/12.80%，其中</w:t>
      </w:r>
      <w:r>
        <w:rPr>
          <w:rFonts w:hint="eastAsia" w:ascii="Times New Roman" w:hAnsi="Times New Roman" w:eastAsia="仿宋_GB2312"/>
          <w:sz w:val="32"/>
          <w:szCs w:val="32"/>
        </w:rPr>
        <w:t>化石燃料燃烧</w:t>
      </w:r>
      <w:r>
        <w:rPr>
          <w:rFonts w:ascii="Times New Roman" w:hAnsi="Times New Roman" w:eastAsia="仿宋_GB2312"/>
          <w:sz w:val="32"/>
          <w:szCs w:val="32"/>
        </w:rPr>
        <w:t>排放量增加了3800.00吨/12.58%，过程排放量增加了8.00吨/66.67%</w:t>
      </w:r>
      <w:r>
        <w:rPr>
          <w:rFonts w:hint="eastAsia" w:ascii="Times New Roman" w:hAnsi="Times New Roman" w:eastAsia="仿宋_GB2312"/>
          <w:sz w:val="32"/>
          <w:szCs w:val="32"/>
        </w:rPr>
        <w:t>，</w:t>
      </w:r>
      <w:r>
        <w:rPr>
          <w:rFonts w:ascii="Times New Roman" w:hAnsi="Times New Roman" w:eastAsia="仿宋_GB2312"/>
          <w:sz w:val="32"/>
          <w:szCs w:val="32"/>
        </w:rPr>
        <w:t>间接排放量增加了200.00吨/18.18%。主要原因是排放单位客运里程数增加10.44%，增加了运营车辆的数量，导致排放量上升明显。</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本年度排放量相比历史基准年份排放量相比增加4008.00吨，增加比例为12.80%，原因为客运里程数增加了xxx万公里。</w:t>
      </w:r>
    </w:p>
    <w:p>
      <w:pPr>
        <w:spacing w:after="0" w:line="560" w:lineRule="exact"/>
        <w:jc w:val="center"/>
        <w:rPr>
          <w:rFonts w:ascii="Times New Roman" w:hAnsi="Times New Roman" w:eastAsia="仿宋_GB2312"/>
          <w:sz w:val="32"/>
          <w:szCs w:val="32"/>
        </w:rPr>
      </w:pPr>
      <w:r>
        <w:rPr>
          <w:rFonts w:ascii="Times New Roman" w:hAnsi="Times New Roman" w:eastAsia="仿宋_GB2312"/>
          <w:sz w:val="24"/>
        </w:rPr>
        <w:t>表XX  排放量汇总表</w:t>
      </w:r>
    </w:p>
    <w:tbl>
      <w:tblPr>
        <w:tblStyle w:val="35"/>
        <w:tblW w:w="4997" w:type="pct"/>
        <w:tblInd w:w="0" w:type="dxa"/>
        <w:tblLayout w:type="autofit"/>
        <w:tblCellMar>
          <w:top w:w="0" w:type="dxa"/>
          <w:left w:w="108" w:type="dxa"/>
          <w:bottom w:w="0" w:type="dxa"/>
          <w:right w:w="108" w:type="dxa"/>
        </w:tblCellMar>
      </w:tblPr>
      <w:tblGrid>
        <w:gridCol w:w="1322"/>
        <w:gridCol w:w="1677"/>
        <w:gridCol w:w="1913"/>
        <w:gridCol w:w="2072"/>
        <w:gridCol w:w="2072"/>
      </w:tblGrid>
      <w:tr>
        <w:tblPrEx>
          <w:tblCellMar>
            <w:top w:w="0" w:type="dxa"/>
            <w:left w:w="108" w:type="dxa"/>
            <w:bottom w:w="0" w:type="dxa"/>
            <w:right w:w="108" w:type="dxa"/>
          </w:tblCellMar>
        </w:tblPrEx>
        <w:trPr>
          <w:trHeight w:val="730" w:hRule="atLeast"/>
        </w:trPr>
        <w:tc>
          <w:tcPr>
            <w:tcW w:w="73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年度</w:t>
            </w:r>
          </w:p>
        </w:tc>
        <w:tc>
          <w:tcPr>
            <w:tcW w:w="926" w:type="pct"/>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化石燃料燃烧排放量（tCO</w:t>
            </w:r>
            <w:r>
              <w:rPr>
                <w:rFonts w:ascii="Times New Roman" w:hAnsi="Times New Roman" w:eastAsia="仿宋_GB2312"/>
                <w:color w:val="000000"/>
                <w:sz w:val="24"/>
                <w:vertAlign w:val="subscript"/>
              </w:rPr>
              <w:t>2</w:t>
            </w:r>
            <w:r>
              <w:rPr>
                <w:rFonts w:ascii="Times New Roman" w:hAnsi="Times New Roman" w:eastAsia="仿宋_GB2312"/>
                <w:color w:val="000000"/>
                <w:sz w:val="24"/>
              </w:rPr>
              <w:t>）</w:t>
            </w:r>
          </w:p>
        </w:tc>
        <w:tc>
          <w:tcPr>
            <w:tcW w:w="1056" w:type="pct"/>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过程排放量（tCO</w:t>
            </w:r>
            <w:r>
              <w:rPr>
                <w:rFonts w:ascii="Times New Roman" w:hAnsi="Times New Roman" w:eastAsia="仿宋_GB2312"/>
                <w:color w:val="000000"/>
                <w:sz w:val="24"/>
                <w:vertAlign w:val="subscript"/>
              </w:rPr>
              <w:t>2</w:t>
            </w:r>
            <w:r>
              <w:rPr>
                <w:rFonts w:ascii="Times New Roman" w:hAnsi="Times New Roman" w:eastAsia="仿宋_GB2312"/>
                <w:color w:val="000000"/>
                <w:sz w:val="24"/>
              </w:rPr>
              <w:t>）</w:t>
            </w:r>
          </w:p>
        </w:tc>
        <w:tc>
          <w:tcPr>
            <w:tcW w:w="1144" w:type="pct"/>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间接排放量（tCO</w:t>
            </w:r>
            <w:r>
              <w:rPr>
                <w:rFonts w:ascii="Times New Roman" w:hAnsi="Times New Roman" w:eastAsia="仿宋_GB2312"/>
                <w:color w:val="000000"/>
                <w:sz w:val="24"/>
                <w:vertAlign w:val="subscript"/>
              </w:rPr>
              <w:t>2</w:t>
            </w:r>
            <w:r>
              <w:rPr>
                <w:rFonts w:ascii="Times New Roman" w:hAnsi="Times New Roman" w:eastAsia="仿宋_GB2312"/>
                <w:color w:val="000000"/>
                <w:sz w:val="24"/>
              </w:rPr>
              <w:t>）</w:t>
            </w:r>
          </w:p>
        </w:tc>
        <w:tc>
          <w:tcPr>
            <w:tcW w:w="1144" w:type="pct"/>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排放总量（tCO2）</w:t>
            </w:r>
          </w:p>
        </w:tc>
      </w:tr>
      <w:tr>
        <w:tblPrEx>
          <w:tblCellMar>
            <w:top w:w="0" w:type="dxa"/>
            <w:left w:w="108" w:type="dxa"/>
            <w:bottom w:w="0" w:type="dxa"/>
            <w:right w:w="108" w:type="dxa"/>
          </w:tblCellMar>
        </w:tblPrEx>
        <w:trPr>
          <w:trHeight w:val="381" w:hRule="atLeast"/>
        </w:trPr>
        <w:tc>
          <w:tcPr>
            <w:tcW w:w="730" w:type="pct"/>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2016</w:t>
            </w:r>
          </w:p>
        </w:tc>
        <w:tc>
          <w:tcPr>
            <w:tcW w:w="926" w:type="pct"/>
            <w:tcBorders>
              <w:top w:val="nil"/>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29000.00 </w:t>
            </w:r>
          </w:p>
        </w:tc>
        <w:tc>
          <w:tcPr>
            <w:tcW w:w="1056" w:type="pct"/>
            <w:tcBorders>
              <w:top w:val="nil"/>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4.00 </w:t>
            </w:r>
          </w:p>
        </w:tc>
        <w:tc>
          <w:tcPr>
            <w:tcW w:w="1144" w:type="pct"/>
            <w:tcBorders>
              <w:top w:val="nil"/>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900</w:t>
            </w:r>
          </w:p>
        </w:tc>
        <w:tc>
          <w:tcPr>
            <w:tcW w:w="1144" w:type="pct"/>
            <w:tcBorders>
              <w:top w:val="nil"/>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29904.00 </w:t>
            </w:r>
          </w:p>
        </w:tc>
      </w:tr>
      <w:tr>
        <w:tblPrEx>
          <w:tblCellMar>
            <w:top w:w="0" w:type="dxa"/>
            <w:left w:w="108" w:type="dxa"/>
            <w:bottom w:w="0" w:type="dxa"/>
            <w:right w:w="108" w:type="dxa"/>
          </w:tblCellMar>
        </w:tblPrEx>
        <w:trPr>
          <w:trHeight w:val="347" w:hRule="atLeast"/>
        </w:trPr>
        <w:tc>
          <w:tcPr>
            <w:tcW w:w="730" w:type="pct"/>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2017</w:t>
            </w:r>
          </w:p>
        </w:tc>
        <w:tc>
          <w:tcPr>
            <w:tcW w:w="926" w:type="pct"/>
            <w:tcBorders>
              <w:top w:val="nil"/>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29800.00 </w:t>
            </w:r>
          </w:p>
        </w:tc>
        <w:tc>
          <w:tcPr>
            <w:tcW w:w="1056" w:type="pct"/>
            <w:tcBorders>
              <w:top w:val="nil"/>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5.00 </w:t>
            </w:r>
          </w:p>
        </w:tc>
        <w:tc>
          <w:tcPr>
            <w:tcW w:w="1144" w:type="pct"/>
            <w:tcBorders>
              <w:top w:val="nil"/>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1000</w:t>
            </w:r>
          </w:p>
        </w:tc>
        <w:tc>
          <w:tcPr>
            <w:tcW w:w="1144" w:type="pct"/>
            <w:tcBorders>
              <w:top w:val="nil"/>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30805.00 </w:t>
            </w:r>
          </w:p>
        </w:tc>
      </w:tr>
      <w:tr>
        <w:tblPrEx>
          <w:tblCellMar>
            <w:top w:w="0" w:type="dxa"/>
            <w:left w:w="108" w:type="dxa"/>
            <w:bottom w:w="0" w:type="dxa"/>
            <w:right w:w="108" w:type="dxa"/>
          </w:tblCellMar>
        </w:tblPrEx>
        <w:trPr>
          <w:trHeight w:val="347" w:hRule="atLeast"/>
        </w:trPr>
        <w:tc>
          <w:tcPr>
            <w:tcW w:w="730" w:type="pct"/>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2018</w:t>
            </w:r>
          </w:p>
        </w:tc>
        <w:tc>
          <w:tcPr>
            <w:tcW w:w="926" w:type="pct"/>
            <w:tcBorders>
              <w:top w:val="nil"/>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30200.00 </w:t>
            </w:r>
          </w:p>
        </w:tc>
        <w:tc>
          <w:tcPr>
            <w:tcW w:w="1056" w:type="pct"/>
            <w:tcBorders>
              <w:top w:val="nil"/>
              <w:left w:val="nil"/>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12.00 </w:t>
            </w:r>
          </w:p>
        </w:tc>
        <w:tc>
          <w:tcPr>
            <w:tcW w:w="1144" w:type="pct"/>
            <w:tcBorders>
              <w:top w:val="nil"/>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1100</w:t>
            </w:r>
          </w:p>
        </w:tc>
        <w:tc>
          <w:tcPr>
            <w:tcW w:w="1144" w:type="pct"/>
            <w:tcBorders>
              <w:top w:val="nil"/>
              <w:left w:val="nil"/>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31312.00 </w:t>
            </w:r>
          </w:p>
        </w:tc>
      </w:tr>
      <w:tr>
        <w:tblPrEx>
          <w:tblCellMar>
            <w:top w:w="0" w:type="dxa"/>
            <w:left w:w="108" w:type="dxa"/>
            <w:bottom w:w="0" w:type="dxa"/>
            <w:right w:w="108" w:type="dxa"/>
          </w:tblCellMar>
        </w:tblPrEx>
        <w:trPr>
          <w:trHeight w:val="347" w:hRule="atLeast"/>
        </w:trPr>
        <w:tc>
          <w:tcPr>
            <w:tcW w:w="730" w:type="pct"/>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2019</w:t>
            </w:r>
          </w:p>
        </w:tc>
        <w:tc>
          <w:tcPr>
            <w:tcW w:w="926" w:type="pct"/>
            <w:tcBorders>
              <w:top w:val="single" w:color="auto" w:sz="4" w:space="0"/>
              <w:left w:val="single" w:color="auto" w:sz="4" w:space="0"/>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34000.00 </w:t>
            </w:r>
          </w:p>
        </w:tc>
        <w:tc>
          <w:tcPr>
            <w:tcW w:w="1056" w:type="pct"/>
            <w:tcBorders>
              <w:top w:val="single" w:color="auto" w:sz="4" w:space="0"/>
              <w:left w:val="single" w:color="auto" w:sz="4" w:space="0"/>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20.00 </w:t>
            </w:r>
          </w:p>
        </w:tc>
        <w:tc>
          <w:tcPr>
            <w:tcW w:w="114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1300</w:t>
            </w:r>
          </w:p>
        </w:tc>
        <w:tc>
          <w:tcPr>
            <w:tcW w:w="114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35320.00 </w:t>
            </w:r>
          </w:p>
        </w:tc>
      </w:tr>
      <w:tr>
        <w:tblPrEx>
          <w:tblCellMar>
            <w:top w:w="0" w:type="dxa"/>
            <w:left w:w="108" w:type="dxa"/>
            <w:bottom w:w="0" w:type="dxa"/>
            <w:right w:w="108" w:type="dxa"/>
          </w:tblCellMar>
        </w:tblPrEx>
        <w:trPr>
          <w:trHeight w:val="347" w:hRule="atLeast"/>
        </w:trPr>
        <w:tc>
          <w:tcPr>
            <w:tcW w:w="730" w:type="pct"/>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2</w:t>
            </w:r>
            <w:r>
              <w:rPr>
                <w:rFonts w:ascii="Times New Roman" w:hAnsi="Times New Roman" w:eastAsia="仿宋_GB2312"/>
                <w:color w:val="000000"/>
                <w:sz w:val="24"/>
              </w:rPr>
              <w:t>020</w:t>
            </w:r>
          </w:p>
        </w:tc>
        <w:tc>
          <w:tcPr>
            <w:tcW w:w="926" w:type="pct"/>
            <w:tcBorders>
              <w:top w:val="single" w:color="auto" w:sz="4" w:space="0"/>
              <w:left w:val="single" w:color="auto" w:sz="4" w:space="0"/>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34000.00 </w:t>
            </w:r>
          </w:p>
        </w:tc>
        <w:tc>
          <w:tcPr>
            <w:tcW w:w="1056" w:type="pct"/>
            <w:tcBorders>
              <w:top w:val="single" w:color="auto" w:sz="4" w:space="0"/>
              <w:left w:val="single" w:color="auto" w:sz="4" w:space="0"/>
              <w:bottom w:val="single" w:color="auto" w:sz="4" w:space="0"/>
              <w:right w:val="single" w:color="auto" w:sz="4" w:space="0"/>
            </w:tcBorders>
            <w:noWrap/>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20.00 </w:t>
            </w:r>
          </w:p>
        </w:tc>
        <w:tc>
          <w:tcPr>
            <w:tcW w:w="114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1300</w:t>
            </w:r>
          </w:p>
        </w:tc>
        <w:tc>
          <w:tcPr>
            <w:tcW w:w="114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 xml:space="preserve">35320.00 </w:t>
            </w:r>
          </w:p>
        </w:tc>
      </w:tr>
    </w:tbl>
    <w:p>
      <w:pPr>
        <w:rPr>
          <w:rFonts w:ascii="Times New Roman" w:hAnsi="Times New Roman"/>
        </w:rPr>
      </w:pPr>
      <w:r>
        <w:rPr>
          <w:lang w:val="en-US"/>
        </w:rPr>
        <w:drawing>
          <wp:inline distT="0" distB="0" distL="0" distR="0">
            <wp:extent cx="5282565" cy="2540000"/>
            <wp:effectExtent l="0" t="0" r="13335" b="12700"/>
            <wp:docPr id="5" name="图表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pPr>
        <w:spacing w:after="0" w:line="560" w:lineRule="exact"/>
        <w:jc w:val="center"/>
        <w:rPr>
          <w:rFonts w:ascii="Times New Roman" w:hAnsi="Times New Roman"/>
        </w:rPr>
      </w:pPr>
      <w:r>
        <w:rPr>
          <w:rFonts w:ascii="Times New Roman" w:hAnsi="Times New Roman" w:eastAsia="仿宋_GB2312"/>
          <w:sz w:val="24"/>
        </w:rPr>
        <w:t>图XX  排放量变化趋势图（增加</w:t>
      </w:r>
      <w:r>
        <w:rPr>
          <w:rFonts w:hint="eastAsia" w:ascii="Times New Roman" w:hAnsi="Times New Roman" w:eastAsia="仿宋_GB2312"/>
          <w:sz w:val="24"/>
        </w:rPr>
        <w:t>2</w:t>
      </w:r>
      <w:r>
        <w:rPr>
          <w:rFonts w:ascii="Times New Roman" w:hAnsi="Times New Roman" w:eastAsia="仿宋_GB2312"/>
          <w:sz w:val="24"/>
        </w:rPr>
        <w:t>020年）</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 核算和报告边界变化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4.1 本年度场所边界的变化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排放单位核算和报告边界为北京市辖区内的服务范围，包括xx个公交场站，</w:t>
      </w:r>
      <w:r>
        <w:rPr>
          <w:rFonts w:hint="eastAsia" w:ascii="Times New Roman" w:hAnsi="Times New Roman" w:eastAsia="仿宋_GB2312"/>
          <w:sz w:val="32"/>
          <w:szCs w:val="32"/>
        </w:rPr>
        <w:t>汽油车xx辆，柴油车xx辆，电动车xx辆，LNG混合动力车xx辆，CNG混合动力车xx辆，</w:t>
      </w:r>
      <w:r>
        <w:rPr>
          <w:rFonts w:ascii="Times New Roman" w:hAnsi="Times New Roman" w:eastAsia="仿宋_GB2312"/>
          <w:sz w:val="32"/>
          <w:szCs w:val="32"/>
        </w:rPr>
        <w:t>xxx条运输线路。与上一年度相比，场所边界无变化；与基准年相比，场所边界无变化。</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4.2 本年度排放设施的变化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排放单位固定设施不涉及既有配额调整。</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排放单位无既有设施退出。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根据交通企业配额调整办法，新增移动设施不需要申请配额调整，因此未对移动设施的排放量及对应的活动水平数据进行核查。排放单位新增设施详见下表：</w:t>
      </w:r>
    </w:p>
    <w:p>
      <w:pPr>
        <w:spacing w:after="0" w:line="560" w:lineRule="exact"/>
        <w:ind w:firstLine="640" w:firstLineChars="200"/>
        <w:jc w:val="both"/>
        <w:rPr>
          <w:rFonts w:ascii="Times New Roman" w:hAnsi="Times New Roman" w:eastAsia="仿宋_GB2312"/>
          <w:sz w:val="32"/>
          <w:szCs w:val="32"/>
        </w:rPr>
      </w:pPr>
    </w:p>
    <w:p>
      <w:pPr>
        <w:spacing w:after="0" w:line="560" w:lineRule="exact"/>
        <w:ind w:firstLine="640" w:firstLineChars="200"/>
        <w:jc w:val="both"/>
        <w:rPr>
          <w:rFonts w:ascii="Times New Roman" w:hAnsi="Times New Roman" w:eastAsia="仿宋_GB2312"/>
          <w:sz w:val="32"/>
          <w:szCs w:val="32"/>
        </w:rPr>
      </w:pPr>
    </w:p>
    <w:p>
      <w:pPr>
        <w:spacing w:after="0" w:line="560" w:lineRule="exact"/>
        <w:ind w:firstLine="640" w:firstLineChars="200"/>
        <w:jc w:val="both"/>
        <w:rPr>
          <w:rFonts w:ascii="Times New Roman" w:hAnsi="Times New Roman" w:eastAsia="仿宋_GB2312"/>
          <w:sz w:val="32"/>
          <w:szCs w:val="32"/>
        </w:rPr>
      </w:pPr>
    </w:p>
    <w:p>
      <w:pPr>
        <w:spacing w:after="0" w:line="560" w:lineRule="exact"/>
        <w:jc w:val="center"/>
        <w:rPr>
          <w:rFonts w:ascii="Times New Roman" w:hAnsi="Times New Roman" w:eastAsia="仿宋_GB2312"/>
          <w:sz w:val="24"/>
        </w:rPr>
      </w:pPr>
      <w:r>
        <w:rPr>
          <w:rFonts w:ascii="Times New Roman" w:hAnsi="Times New Roman" w:eastAsia="仿宋_GB2312"/>
          <w:sz w:val="24"/>
        </w:rPr>
        <w:t>表XX  新增设施信息表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848"/>
        <w:gridCol w:w="2219"/>
        <w:gridCol w:w="1661"/>
        <w:gridCol w:w="1661"/>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468"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设施新增年份</w:t>
            </w:r>
          </w:p>
        </w:tc>
        <w:tc>
          <w:tcPr>
            <w:tcW w:w="1225"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新增设施类型</w:t>
            </w:r>
          </w:p>
        </w:tc>
        <w:tc>
          <w:tcPr>
            <w:tcW w:w="917"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是否替代既有设施，被替代既有设施类型</w:t>
            </w:r>
          </w:p>
        </w:tc>
        <w:tc>
          <w:tcPr>
            <w:tcW w:w="917"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新增设施排放量（吨）</w:t>
            </w:r>
          </w:p>
        </w:tc>
        <w:tc>
          <w:tcPr>
            <w:tcW w:w="918" w:type="pct"/>
            <w:vAlign w:val="center"/>
          </w:tcPr>
          <w:p>
            <w:pPr>
              <w:tabs>
                <w:tab w:val="left" w:pos="1701"/>
              </w:tabs>
              <w:jc w:val="center"/>
              <w:rPr>
                <w:rFonts w:ascii="Times New Roman" w:hAnsi="Times New Roman" w:eastAsia="仿宋_GB2312"/>
                <w:color w:val="000000"/>
                <w:sz w:val="24"/>
              </w:rPr>
            </w:pPr>
            <w:r>
              <w:rPr>
                <w:rFonts w:hint="eastAsia" w:ascii="Times New Roman" w:hAnsi="Times New Roman" w:eastAsia="仿宋_GB2312"/>
                <w:color w:val="000000"/>
                <w:sz w:val="24"/>
              </w:rPr>
              <w:t>替代既有设施的新增排放量(吨)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pct"/>
            <w:vAlign w:val="center"/>
          </w:tcPr>
          <w:p>
            <w:pPr>
              <w:jc w:val="center"/>
              <w:rPr>
                <w:rFonts w:ascii="Times New Roman" w:hAnsi="Times New Roman" w:eastAsia="仿宋_GB2312"/>
                <w:sz w:val="24"/>
              </w:rPr>
            </w:pPr>
            <w:r>
              <w:rPr>
                <w:rFonts w:ascii="Times New Roman" w:hAnsi="Times New Roman" w:eastAsia="仿宋_GB2312"/>
                <w:color w:val="000000"/>
                <w:sz w:val="24"/>
              </w:rPr>
              <w:t>1</w:t>
            </w:r>
          </w:p>
        </w:tc>
        <w:tc>
          <w:tcPr>
            <w:tcW w:w="468" w:type="pct"/>
            <w:vAlign w:val="center"/>
          </w:tcPr>
          <w:p>
            <w:pPr>
              <w:jc w:val="center"/>
              <w:rPr>
                <w:rFonts w:ascii="Times New Roman" w:hAnsi="Times New Roman" w:eastAsia="仿宋_GB2312"/>
                <w:sz w:val="24"/>
              </w:rPr>
            </w:pPr>
            <w:r>
              <w:rPr>
                <w:rFonts w:ascii="Times New Roman" w:hAnsi="Times New Roman" w:eastAsia="仿宋_GB2312"/>
                <w:sz w:val="24"/>
              </w:rPr>
              <w:t>2019</w:t>
            </w:r>
          </w:p>
        </w:tc>
        <w:tc>
          <w:tcPr>
            <w:tcW w:w="1225" w:type="pct"/>
            <w:vAlign w:val="center"/>
          </w:tcPr>
          <w:p>
            <w:pPr>
              <w:jc w:val="center"/>
              <w:rPr>
                <w:rFonts w:ascii="Times New Roman" w:hAnsi="Times New Roman" w:eastAsia="仿宋_GB2312"/>
                <w:sz w:val="24"/>
              </w:rPr>
            </w:pPr>
            <w:r>
              <w:rPr>
                <w:rFonts w:ascii="Times New Roman" w:hAnsi="Times New Roman" w:eastAsia="仿宋_GB2312"/>
                <w:sz w:val="24"/>
              </w:rPr>
              <w:t>移动设施：新增xx台LNG（xx）和CNG（xx）混合动力公交车</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w:t>
            </w:r>
          </w:p>
        </w:tc>
        <w:tc>
          <w:tcPr>
            <w:tcW w:w="918" w:type="pct"/>
            <w:vAlign w:val="center"/>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pct"/>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2</w:t>
            </w:r>
          </w:p>
        </w:tc>
        <w:tc>
          <w:tcPr>
            <w:tcW w:w="468" w:type="pct"/>
            <w:vAlign w:val="center"/>
          </w:tcPr>
          <w:p>
            <w:pPr>
              <w:jc w:val="center"/>
              <w:rPr>
                <w:rFonts w:ascii="Times New Roman" w:hAnsi="Times New Roman" w:eastAsia="仿宋_GB2312"/>
                <w:sz w:val="24"/>
              </w:rPr>
            </w:pPr>
            <w:r>
              <w:rPr>
                <w:rFonts w:ascii="Times New Roman" w:hAnsi="Times New Roman" w:eastAsia="仿宋_GB2312"/>
                <w:sz w:val="24"/>
              </w:rPr>
              <w:t>2019</w:t>
            </w:r>
          </w:p>
        </w:tc>
        <w:tc>
          <w:tcPr>
            <w:tcW w:w="1225" w:type="pct"/>
            <w:vAlign w:val="center"/>
          </w:tcPr>
          <w:p>
            <w:pPr>
              <w:jc w:val="center"/>
              <w:rPr>
                <w:rFonts w:ascii="Times New Roman" w:hAnsi="Times New Roman" w:eastAsia="仿宋_GB2312"/>
                <w:sz w:val="24"/>
              </w:rPr>
            </w:pPr>
            <w:r>
              <w:rPr>
                <w:rFonts w:ascii="Times New Roman" w:hAnsi="Times New Roman" w:eastAsia="仿宋_GB2312"/>
                <w:sz w:val="24"/>
              </w:rPr>
              <w:t>移动设施：新增xx台LNG（xx）和CNG（xx）混合动力公交车，电动车xx台。</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w:t>
            </w:r>
          </w:p>
        </w:tc>
        <w:tc>
          <w:tcPr>
            <w:tcW w:w="918" w:type="pct"/>
            <w:vAlign w:val="center"/>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pct"/>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3</w:t>
            </w:r>
          </w:p>
        </w:tc>
        <w:tc>
          <w:tcPr>
            <w:tcW w:w="468" w:type="pct"/>
            <w:vAlign w:val="center"/>
          </w:tcPr>
          <w:p>
            <w:pPr>
              <w:jc w:val="center"/>
              <w:rPr>
                <w:rFonts w:ascii="Times New Roman" w:hAnsi="Times New Roman" w:eastAsia="仿宋_GB2312"/>
                <w:sz w:val="24"/>
              </w:rPr>
            </w:pPr>
            <w:r>
              <w:rPr>
                <w:rFonts w:ascii="Times New Roman" w:hAnsi="Times New Roman" w:eastAsia="仿宋_GB2312"/>
                <w:sz w:val="24"/>
              </w:rPr>
              <w:t>2019</w:t>
            </w:r>
          </w:p>
        </w:tc>
        <w:tc>
          <w:tcPr>
            <w:tcW w:w="1225" w:type="pct"/>
            <w:vAlign w:val="center"/>
          </w:tcPr>
          <w:p>
            <w:pPr>
              <w:jc w:val="center"/>
              <w:rPr>
                <w:rFonts w:ascii="Times New Roman" w:hAnsi="Times New Roman" w:eastAsia="仿宋_GB2312"/>
                <w:sz w:val="24"/>
              </w:rPr>
            </w:pPr>
            <w:r>
              <w:rPr>
                <w:rFonts w:ascii="Times New Roman" w:hAnsi="Times New Roman" w:eastAsia="仿宋_GB2312"/>
                <w:sz w:val="24"/>
              </w:rPr>
              <w:t>移动设施：xx辆客车</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w:t>
            </w:r>
          </w:p>
        </w:tc>
        <w:tc>
          <w:tcPr>
            <w:tcW w:w="918" w:type="pct"/>
            <w:vAlign w:val="center"/>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pct"/>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4</w:t>
            </w:r>
          </w:p>
        </w:tc>
        <w:tc>
          <w:tcPr>
            <w:tcW w:w="468" w:type="pct"/>
            <w:vAlign w:val="center"/>
          </w:tcPr>
          <w:p>
            <w:pPr>
              <w:jc w:val="center"/>
              <w:rPr>
                <w:rFonts w:ascii="Times New Roman" w:hAnsi="Times New Roman" w:eastAsia="仿宋_GB2312"/>
                <w:sz w:val="24"/>
              </w:rPr>
            </w:pPr>
            <w:r>
              <w:rPr>
                <w:rFonts w:ascii="Times New Roman" w:hAnsi="Times New Roman" w:eastAsia="仿宋_GB2312"/>
                <w:sz w:val="24"/>
              </w:rPr>
              <w:t>2020</w:t>
            </w:r>
          </w:p>
        </w:tc>
        <w:tc>
          <w:tcPr>
            <w:tcW w:w="1225" w:type="pct"/>
            <w:vAlign w:val="center"/>
          </w:tcPr>
          <w:p>
            <w:pPr>
              <w:jc w:val="center"/>
              <w:rPr>
                <w:rFonts w:ascii="Times New Roman" w:hAnsi="Times New Roman" w:eastAsia="仿宋_GB2312"/>
                <w:sz w:val="24"/>
              </w:rPr>
            </w:pPr>
            <w:r>
              <w:rPr>
                <w:rFonts w:ascii="Times New Roman" w:hAnsi="Times New Roman" w:eastAsia="仿宋_GB2312"/>
                <w:sz w:val="24"/>
              </w:rPr>
              <w:t>xx辆柴油/电混合动力客车</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917" w:type="pct"/>
            <w:vAlign w:val="center"/>
          </w:tcPr>
          <w:p>
            <w:pPr>
              <w:jc w:val="center"/>
              <w:rPr>
                <w:rFonts w:ascii="Times New Roman" w:hAnsi="Times New Roman" w:eastAsia="仿宋_GB2312"/>
                <w:sz w:val="24"/>
              </w:rPr>
            </w:pPr>
            <w:r>
              <w:rPr>
                <w:rFonts w:ascii="Times New Roman" w:hAnsi="Times New Roman" w:eastAsia="仿宋_GB2312"/>
                <w:sz w:val="24"/>
              </w:rPr>
              <w:t>/</w:t>
            </w:r>
          </w:p>
        </w:tc>
        <w:tc>
          <w:tcPr>
            <w:tcW w:w="918" w:type="pct"/>
            <w:vAlign w:val="center"/>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 w:type="pct"/>
            <w:vAlign w:val="center"/>
          </w:tcPr>
          <w:p>
            <w:pPr>
              <w:jc w:val="center"/>
              <w:rPr>
                <w:rFonts w:ascii="Times New Roman" w:hAnsi="Times New Roman" w:eastAsia="仿宋_GB2312"/>
                <w:color w:val="000000"/>
                <w:sz w:val="24"/>
              </w:rPr>
            </w:pPr>
          </w:p>
        </w:tc>
        <w:tc>
          <w:tcPr>
            <w:tcW w:w="468" w:type="pct"/>
            <w:vAlign w:val="center"/>
          </w:tcPr>
          <w:p>
            <w:pPr>
              <w:jc w:val="center"/>
              <w:rPr>
                <w:rFonts w:ascii="Times New Roman" w:hAnsi="Times New Roman" w:eastAsia="仿宋_GB2312"/>
                <w:sz w:val="24"/>
              </w:rPr>
            </w:pPr>
          </w:p>
        </w:tc>
        <w:tc>
          <w:tcPr>
            <w:tcW w:w="1225" w:type="pct"/>
            <w:vAlign w:val="center"/>
          </w:tcPr>
          <w:p>
            <w:pPr>
              <w:jc w:val="center"/>
              <w:rPr>
                <w:rFonts w:ascii="Times New Roman" w:hAnsi="Times New Roman" w:eastAsia="仿宋_GB2312"/>
                <w:sz w:val="24"/>
              </w:rPr>
            </w:pPr>
          </w:p>
        </w:tc>
        <w:tc>
          <w:tcPr>
            <w:tcW w:w="917" w:type="pct"/>
            <w:vAlign w:val="center"/>
          </w:tcPr>
          <w:p>
            <w:pPr>
              <w:jc w:val="center"/>
              <w:rPr>
                <w:rFonts w:ascii="Times New Roman" w:hAnsi="Times New Roman" w:eastAsia="仿宋_GB2312"/>
                <w:sz w:val="24"/>
              </w:rPr>
            </w:pPr>
          </w:p>
        </w:tc>
        <w:tc>
          <w:tcPr>
            <w:tcW w:w="917" w:type="pct"/>
            <w:vAlign w:val="center"/>
          </w:tcPr>
          <w:p>
            <w:pPr>
              <w:jc w:val="center"/>
              <w:rPr>
                <w:rFonts w:ascii="Times New Roman" w:hAnsi="Times New Roman" w:eastAsia="仿宋_GB2312"/>
                <w:sz w:val="24"/>
              </w:rPr>
            </w:pPr>
          </w:p>
        </w:tc>
        <w:tc>
          <w:tcPr>
            <w:tcW w:w="918" w:type="pct"/>
            <w:vAlign w:val="center"/>
          </w:tcPr>
          <w:p>
            <w:pPr>
              <w:jc w:val="center"/>
              <w:rPr>
                <w:rFonts w:ascii="Times New Roman" w:hAnsi="Times New Roman" w:eastAsia="仿宋_GB2312"/>
                <w:sz w:val="24"/>
              </w:rPr>
            </w:pPr>
          </w:p>
        </w:tc>
      </w:tr>
    </w:tbl>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5.核查过程未覆盖的问题描述</w:t>
      </w:r>
    </w:p>
    <w:p>
      <w:pPr>
        <w:spacing w:after="0" w:line="560" w:lineRule="exact"/>
        <w:ind w:firstLine="465"/>
        <w:jc w:val="both"/>
        <w:rPr>
          <w:rFonts w:ascii="Times New Roman" w:hAnsi="Times New Roman" w:eastAsia="仿宋_GB2312"/>
          <w:sz w:val="32"/>
          <w:szCs w:val="32"/>
        </w:rPr>
      </w:pPr>
      <w:r>
        <w:rPr>
          <w:rFonts w:ascii="Times New Roman" w:hAnsi="Times New Roman" w:eastAsia="仿宋_GB2312"/>
          <w:sz w:val="32"/>
          <w:szCs w:val="32"/>
        </w:rPr>
        <w:t>由于排放单位食堂液化石油气消耗量较低，排放单位液化石油气消耗量依据消耗罐数进行估计，因此未能核查液化石油气计量设备信息。</w:t>
      </w:r>
    </w:p>
    <w:p>
      <w:pPr>
        <w:spacing w:after="0" w:line="560" w:lineRule="exact"/>
        <w:ind w:firstLine="465"/>
        <w:rPr>
          <w:rFonts w:ascii="Times New Roman" w:hAnsi="Times New Roman" w:eastAsia="仿宋_GB2312"/>
          <w:sz w:val="32"/>
          <w:szCs w:val="32"/>
        </w:rPr>
      </w:pPr>
      <w:r>
        <w:rPr>
          <w:rFonts w:ascii="Times New Roman" w:hAnsi="Times New Roman" w:eastAsia="仿宋_GB2312"/>
          <w:sz w:val="32"/>
          <w:szCs w:val="32"/>
        </w:rPr>
        <w:t>由于电表为电力公司管控，因此未能核查电表的检定信息。</w:t>
      </w:r>
    </w:p>
    <w:p>
      <w:pPr>
        <w:ind w:firstLine="465"/>
        <w:rPr>
          <w:rFonts w:ascii="Times New Roman" w:hAnsi="Times New Roman" w:eastAsia="仿宋"/>
          <w:sz w:val="24"/>
        </w:rPr>
      </w:pPr>
    </w:p>
    <w:p>
      <w:pPr>
        <w:pStyle w:val="4"/>
        <w:rPr>
          <w:rFonts w:ascii="Times New Roman" w:hAnsi="Times New Roman"/>
        </w:rPr>
        <w:sectPr>
          <w:pgSz w:w="11906" w:h="16838"/>
          <w:pgMar w:top="2098" w:right="1474" w:bottom="1984" w:left="1587" w:header="851" w:footer="1587" w:gutter="0"/>
          <w:paperSrc/>
          <w:pgNumType w:fmt="decimal"/>
          <w:cols w:space="0" w:num="1"/>
          <w:rtlGutter w:val="0"/>
          <w:docGrid w:type="lines" w:linePitch="312" w:charSpace="0"/>
        </w:sectPr>
      </w:pPr>
    </w:p>
    <w:p>
      <w:pPr>
        <w:pStyle w:val="4"/>
        <w:spacing w:before="0" w:after="0" w:line="56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其他服务业企业（单位）</w:t>
      </w:r>
      <w:r>
        <w:rPr>
          <w:rFonts w:asciiTheme="majorEastAsia" w:hAnsiTheme="majorEastAsia" w:eastAsiaTheme="majorEastAsia"/>
          <w:sz w:val="32"/>
          <w:szCs w:val="32"/>
        </w:rPr>
        <w:t>-</w:t>
      </w:r>
      <w:r>
        <w:rPr>
          <w:rFonts w:hint="eastAsia" w:asciiTheme="majorEastAsia" w:hAnsiTheme="majorEastAsia" w:eastAsiaTheme="majorEastAsia"/>
          <w:sz w:val="32"/>
          <w:szCs w:val="32"/>
        </w:rPr>
        <w:t>通信</w:t>
      </w:r>
    </w:p>
    <w:p>
      <w:pPr>
        <w:spacing w:after="0" w:line="560" w:lineRule="exact"/>
        <w:rPr>
          <w:rFonts w:eastAsia="仿宋_GB2312"/>
          <w:sz w:val="32"/>
          <w:szCs w:val="32"/>
        </w:rPr>
      </w:pPr>
      <w:r>
        <w:rPr>
          <w:rFonts w:eastAsia="仿宋_GB2312"/>
          <w:sz w:val="32"/>
          <w:szCs w:val="32"/>
        </w:rPr>
        <w:t>核查结论</w:t>
      </w:r>
    </w:p>
    <w:p>
      <w:pPr>
        <w:spacing w:after="0" w:line="560" w:lineRule="exact"/>
        <w:ind w:firstLine="640" w:firstLineChars="200"/>
        <w:jc w:val="both"/>
        <w:rPr>
          <w:rFonts w:eastAsia="仿宋_GB2312"/>
          <w:sz w:val="32"/>
          <w:szCs w:val="32"/>
        </w:rPr>
      </w:pPr>
      <w:r>
        <w:rPr>
          <w:rFonts w:eastAsia="仿宋"/>
          <w:sz w:val="32"/>
          <w:szCs w:val="32"/>
        </w:rPr>
        <w:t>xxxx公司（以下简称排放单位）委托xxx公司开展</w:t>
      </w:r>
      <w:r>
        <w:rPr>
          <w:rFonts w:hint="eastAsia" w:eastAsia="仿宋"/>
          <w:sz w:val="32"/>
          <w:szCs w:val="32"/>
        </w:rPr>
        <w:t>XXXX年</w:t>
      </w:r>
      <w:r>
        <w:rPr>
          <w:rFonts w:eastAsia="仿宋_GB2312"/>
          <w:sz w:val="32"/>
          <w:szCs w:val="32"/>
        </w:rPr>
        <w:t>二氧化碳排放的核查工作。核查范围包括排放单位所有在北京市辖区内的固定设施导致的二氧化碳直接排放和二氧化碳间接排放。</w:t>
      </w:r>
    </w:p>
    <w:p>
      <w:pPr>
        <w:spacing w:after="0" w:line="560" w:lineRule="exact"/>
        <w:ind w:firstLine="640" w:firstLineChars="200"/>
        <w:jc w:val="both"/>
        <w:rPr>
          <w:rFonts w:eastAsia="仿宋_GB2312"/>
          <w:sz w:val="32"/>
          <w:szCs w:val="32"/>
        </w:rPr>
      </w:pPr>
      <w:r>
        <w:rPr>
          <w:rFonts w:eastAsia="仿宋_GB2312"/>
          <w:sz w:val="32"/>
          <w:szCs w:val="32"/>
        </w:rPr>
        <w:t>通过文件评审、现场访问、核查报告编写及内部技术复核，核查组对排放单位</w:t>
      </w:r>
      <w:r>
        <w:rPr>
          <w:rFonts w:hint="eastAsia" w:eastAsia="仿宋_GB2312"/>
          <w:sz w:val="32"/>
          <w:szCs w:val="32"/>
        </w:rPr>
        <w:t>XXXX年</w:t>
      </w:r>
      <w:r>
        <w:rPr>
          <w:rFonts w:eastAsia="仿宋_GB2312"/>
          <w:sz w:val="32"/>
          <w:szCs w:val="32"/>
        </w:rPr>
        <w:t>度二氧化碳排放报告形成如下核查结论：</w:t>
      </w:r>
    </w:p>
    <w:p>
      <w:pPr>
        <w:spacing w:after="0" w:line="560" w:lineRule="exact"/>
        <w:ind w:firstLine="640" w:firstLineChars="200"/>
        <w:jc w:val="both"/>
        <w:rPr>
          <w:rFonts w:eastAsia="仿宋_GB2312"/>
          <w:sz w:val="32"/>
          <w:szCs w:val="32"/>
        </w:rPr>
      </w:pPr>
      <w:r>
        <w:rPr>
          <w:rFonts w:eastAsia="仿宋_GB2312"/>
          <w:sz w:val="32"/>
          <w:szCs w:val="32"/>
        </w:rPr>
        <w:t>1. 核算、报告与方法学的符合性</w:t>
      </w:r>
    </w:p>
    <w:p>
      <w:pPr>
        <w:spacing w:after="0" w:line="560" w:lineRule="exact"/>
        <w:ind w:firstLine="640" w:firstLineChars="200"/>
        <w:jc w:val="both"/>
        <w:rPr>
          <w:rFonts w:eastAsia="仿宋_GB2312"/>
          <w:sz w:val="32"/>
          <w:szCs w:val="32"/>
        </w:rPr>
      </w:pPr>
      <w:r>
        <w:rPr>
          <w:rFonts w:eastAsia="仿宋_GB2312"/>
          <w:sz w:val="32"/>
          <w:szCs w:val="32"/>
        </w:rPr>
        <w:t>核查组确认所有不符合已全部关闭，排放单位的核算与报告均符合方法学</w:t>
      </w:r>
      <w:r>
        <w:rPr>
          <w:rFonts w:hint="eastAsia" w:eastAsia="仿宋_GB2312"/>
          <w:sz w:val="32"/>
          <w:szCs w:val="32"/>
        </w:rPr>
        <w:t>《二氧化碳排放核算和报告要求服务业》（DB11/T 1785-2020）</w:t>
      </w:r>
      <w:r>
        <w:rPr>
          <w:rFonts w:eastAsia="仿宋_GB2312"/>
          <w:sz w:val="32"/>
          <w:szCs w:val="32"/>
        </w:rPr>
        <w:t>的要求，核查组对本排放报告出具肯定的核查结论。</w:t>
      </w:r>
    </w:p>
    <w:p>
      <w:pPr>
        <w:spacing w:after="0" w:line="560" w:lineRule="exact"/>
        <w:ind w:firstLine="640" w:firstLineChars="200"/>
        <w:jc w:val="both"/>
        <w:rPr>
          <w:rFonts w:eastAsia="仿宋_GB2312"/>
          <w:sz w:val="32"/>
          <w:szCs w:val="32"/>
        </w:rPr>
      </w:pPr>
      <w:r>
        <w:rPr>
          <w:rFonts w:hint="eastAsia" w:eastAsia="仿宋_GB2312"/>
          <w:sz w:val="32"/>
          <w:szCs w:val="32"/>
        </w:rPr>
        <w:t>2</w:t>
      </w:r>
      <w:r>
        <w:rPr>
          <w:rFonts w:eastAsia="仿宋_GB2312"/>
          <w:sz w:val="32"/>
          <w:szCs w:val="32"/>
        </w:rPr>
        <w:t>. 本年度排放量及活动水平数据的声明</w:t>
      </w:r>
    </w:p>
    <w:p>
      <w:pPr>
        <w:spacing w:after="0" w:line="560" w:lineRule="exact"/>
        <w:ind w:firstLine="640" w:firstLineChars="200"/>
        <w:jc w:val="both"/>
        <w:rPr>
          <w:rFonts w:eastAsia="仿宋_GB2312"/>
          <w:sz w:val="32"/>
          <w:szCs w:val="32"/>
        </w:rPr>
      </w:pPr>
      <w:r>
        <w:rPr>
          <w:rFonts w:eastAsia="仿宋_GB2312"/>
          <w:sz w:val="32"/>
          <w:szCs w:val="32"/>
        </w:rPr>
        <w:t>经核查的直接和间接排放量与最终排放报告中数据一致。经核查的直接排放量为10616.72吨，间接排放量为1192094.66吨，总排放量为1202711.39吨。</w:t>
      </w:r>
    </w:p>
    <w:p>
      <w:pPr>
        <w:spacing w:after="0" w:line="560" w:lineRule="exact"/>
        <w:ind w:firstLine="640" w:firstLineChars="200"/>
        <w:jc w:val="both"/>
        <w:rPr>
          <w:rFonts w:eastAsia="仿宋_GB2312"/>
          <w:sz w:val="32"/>
          <w:szCs w:val="32"/>
        </w:rPr>
      </w:pPr>
      <w:r>
        <w:rPr>
          <w:rFonts w:eastAsia="仿宋_GB2312"/>
          <w:sz w:val="32"/>
          <w:szCs w:val="32"/>
        </w:rPr>
        <w:t>经核查的电信业务总量与最终排放报告中数据一致。经核查的电信业务总量为xxxxx万元</w:t>
      </w:r>
      <w:r>
        <w:rPr>
          <w:rFonts w:hint="eastAsia" w:eastAsia="仿宋_GB2312"/>
          <w:sz w:val="32"/>
          <w:szCs w:val="32"/>
        </w:rPr>
        <w:t>，其中移动业务总量为xx万元（移动语音业务总量xx万元、移动数据与互联网业务总量xx万元、移动增值及其他业务总量xx万元），固网业务总量xx万元。排放单位含xx个大型数据中心，数据中心总用电量为xxMWh，IT设备用电量为xxMWh。</w:t>
      </w:r>
    </w:p>
    <w:p>
      <w:pPr>
        <w:spacing w:after="0" w:line="560" w:lineRule="exact"/>
        <w:ind w:firstLine="640" w:firstLineChars="200"/>
        <w:jc w:val="both"/>
        <w:rPr>
          <w:rFonts w:eastAsia="仿宋_GB2312"/>
          <w:sz w:val="32"/>
          <w:szCs w:val="32"/>
        </w:rPr>
      </w:pPr>
      <w:r>
        <w:rPr>
          <w:rFonts w:hint="eastAsia" w:eastAsia="仿宋_GB2312"/>
          <w:sz w:val="32"/>
          <w:szCs w:val="32"/>
        </w:rPr>
        <w:t>3</w:t>
      </w:r>
      <w:r>
        <w:rPr>
          <w:rFonts w:eastAsia="仿宋_GB2312"/>
          <w:sz w:val="32"/>
          <w:szCs w:val="32"/>
        </w:rPr>
        <w:t>. 年度排放量及活动水平波动的原因说明</w:t>
      </w:r>
    </w:p>
    <w:p>
      <w:pPr>
        <w:spacing w:after="0" w:line="560" w:lineRule="exact"/>
        <w:ind w:firstLine="640" w:firstLineChars="200"/>
        <w:jc w:val="both"/>
        <w:rPr>
          <w:rFonts w:eastAsia="仿宋_GB2312"/>
          <w:sz w:val="32"/>
          <w:szCs w:val="32"/>
        </w:rPr>
      </w:pPr>
      <w:r>
        <w:rPr>
          <w:rFonts w:eastAsia="仿宋_GB2312"/>
          <w:sz w:val="32"/>
          <w:szCs w:val="32"/>
        </w:rPr>
        <w:t>本年度排放量与上一年度排放量相比增加28021.34吨/2.3</w:t>
      </w:r>
      <w:r>
        <w:rPr>
          <w:rFonts w:hint="eastAsia" w:eastAsia="仿宋_GB2312"/>
          <w:sz w:val="32"/>
          <w:szCs w:val="32"/>
        </w:rPr>
        <w:t>9</w:t>
      </w:r>
      <w:r>
        <w:rPr>
          <w:rFonts w:eastAsia="仿宋_GB2312"/>
          <w:sz w:val="32"/>
          <w:szCs w:val="32"/>
        </w:rPr>
        <w:t>%，其中直接排放相比上一年度减少335.</w:t>
      </w:r>
      <w:r>
        <w:rPr>
          <w:rFonts w:hint="eastAsia" w:eastAsia="仿宋_GB2312"/>
          <w:sz w:val="32"/>
          <w:szCs w:val="32"/>
        </w:rPr>
        <w:t>70</w:t>
      </w:r>
      <w:r>
        <w:rPr>
          <w:rFonts w:eastAsia="仿宋_GB2312"/>
          <w:sz w:val="32"/>
          <w:szCs w:val="32"/>
        </w:rPr>
        <w:t>吨/3.07%，间接排放相比上一年度增加28357.0</w:t>
      </w:r>
      <w:r>
        <w:rPr>
          <w:rFonts w:hint="eastAsia" w:eastAsia="仿宋_GB2312"/>
          <w:sz w:val="32"/>
          <w:szCs w:val="32"/>
        </w:rPr>
        <w:t>2</w:t>
      </w:r>
      <w:r>
        <w:rPr>
          <w:rFonts w:eastAsia="仿宋_GB2312"/>
          <w:sz w:val="32"/>
          <w:szCs w:val="32"/>
        </w:rPr>
        <w:t>吨/2.44%，</w:t>
      </w:r>
      <w:r>
        <w:rPr>
          <w:rFonts w:hint="eastAsia" w:eastAsia="仿宋_GB2312"/>
          <w:sz w:val="32"/>
          <w:szCs w:val="32"/>
        </w:rPr>
        <w:t>由于4G的普及、大王卡等业务营销，导致移动数据与互联网业务总量上涨，所需要的设施增加，导致排放量上升。</w:t>
      </w:r>
    </w:p>
    <w:p>
      <w:pPr>
        <w:spacing w:after="0" w:line="560" w:lineRule="exact"/>
        <w:ind w:firstLine="640" w:firstLineChars="200"/>
        <w:jc w:val="both"/>
        <w:rPr>
          <w:rFonts w:eastAsia="仿宋_GB2312"/>
          <w:sz w:val="32"/>
          <w:szCs w:val="32"/>
        </w:rPr>
      </w:pPr>
      <w:r>
        <w:rPr>
          <w:rFonts w:eastAsia="仿宋_GB2312"/>
          <w:sz w:val="32"/>
          <w:szCs w:val="32"/>
        </w:rPr>
        <w:t>本年度排放量与历史基准年度相比，增加了28021.34吨，增加比例为</w:t>
      </w:r>
      <w:r>
        <w:rPr>
          <w:rFonts w:hint="eastAsia" w:eastAsia="仿宋_GB2312"/>
          <w:sz w:val="32"/>
          <w:szCs w:val="32"/>
        </w:rPr>
        <w:t>2.39</w:t>
      </w:r>
      <w:r>
        <w:rPr>
          <w:rFonts w:eastAsia="仿宋_GB2312"/>
          <w:sz w:val="32"/>
          <w:szCs w:val="32"/>
        </w:rPr>
        <w:t>%</w:t>
      </w:r>
      <w:r>
        <w:rPr>
          <w:rFonts w:hint="eastAsia" w:eastAsia="仿宋_GB2312"/>
          <w:sz w:val="32"/>
          <w:szCs w:val="32"/>
        </w:rPr>
        <w:t>，用电设施增加导致排放量增加</w:t>
      </w:r>
      <w:r>
        <w:rPr>
          <w:rFonts w:eastAsia="仿宋_GB2312"/>
          <w:sz w:val="32"/>
          <w:szCs w:val="32"/>
        </w:rPr>
        <w:t>。</w:t>
      </w:r>
    </w:p>
    <w:p>
      <w:pPr>
        <w:spacing w:after="0" w:line="560" w:lineRule="exact"/>
        <w:jc w:val="center"/>
        <w:rPr>
          <w:rFonts w:eastAsia="仿宋_GB2312"/>
          <w:sz w:val="32"/>
          <w:szCs w:val="32"/>
        </w:rPr>
      </w:pPr>
      <w:r>
        <w:rPr>
          <w:rFonts w:eastAsia="仿宋_GB2312"/>
          <w:sz w:val="24"/>
        </w:rPr>
        <w:t>表XX  排放量汇总表</w:t>
      </w:r>
    </w:p>
    <w:tbl>
      <w:tblPr>
        <w:tblStyle w:val="35"/>
        <w:tblW w:w="5000" w:type="pct"/>
        <w:tblInd w:w="0" w:type="dxa"/>
        <w:tblLayout w:type="autofit"/>
        <w:tblCellMar>
          <w:top w:w="0" w:type="dxa"/>
          <w:left w:w="108" w:type="dxa"/>
          <w:bottom w:w="0" w:type="dxa"/>
          <w:right w:w="108" w:type="dxa"/>
        </w:tblCellMar>
      </w:tblPr>
      <w:tblGrid>
        <w:gridCol w:w="1433"/>
        <w:gridCol w:w="2462"/>
        <w:gridCol w:w="2480"/>
        <w:gridCol w:w="2686"/>
      </w:tblGrid>
      <w:tr>
        <w:tblPrEx>
          <w:tblCellMar>
            <w:top w:w="0" w:type="dxa"/>
            <w:left w:w="108" w:type="dxa"/>
            <w:bottom w:w="0" w:type="dxa"/>
            <w:right w:w="108" w:type="dxa"/>
          </w:tblCellMar>
        </w:tblPrEx>
        <w:trPr>
          <w:trHeight w:val="585" w:hRule="atLeast"/>
        </w:trPr>
        <w:tc>
          <w:tcPr>
            <w:tcW w:w="79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年度</w:t>
            </w:r>
          </w:p>
        </w:tc>
        <w:tc>
          <w:tcPr>
            <w:tcW w:w="1358"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直接排放量（tCO2）</w:t>
            </w:r>
          </w:p>
        </w:tc>
        <w:tc>
          <w:tcPr>
            <w:tcW w:w="1368"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间接排放量（tCO2）</w:t>
            </w:r>
          </w:p>
        </w:tc>
        <w:tc>
          <w:tcPr>
            <w:tcW w:w="148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排放总量（tCO2）</w:t>
            </w:r>
          </w:p>
        </w:tc>
      </w:tr>
      <w:tr>
        <w:tblPrEx>
          <w:tblCellMar>
            <w:top w:w="0" w:type="dxa"/>
            <w:left w:w="108" w:type="dxa"/>
            <w:bottom w:w="0" w:type="dxa"/>
            <w:right w:w="108" w:type="dxa"/>
          </w:tblCellMar>
        </w:tblPrEx>
        <w:trPr>
          <w:trHeight w:val="403" w:hRule="atLeast"/>
        </w:trPr>
        <w:tc>
          <w:tcPr>
            <w:tcW w:w="791"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eastAsia="仿宋_GB2312"/>
                <w:color w:val="000000"/>
                <w:sz w:val="24"/>
              </w:rPr>
            </w:pPr>
            <w:r>
              <w:rPr>
                <w:rFonts w:eastAsia="仿宋_GB2312"/>
                <w:color w:val="000000"/>
                <w:sz w:val="24"/>
              </w:rPr>
              <w:t>2016</w:t>
            </w:r>
          </w:p>
        </w:tc>
        <w:tc>
          <w:tcPr>
            <w:tcW w:w="135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8100.00</w:t>
            </w:r>
          </w:p>
        </w:tc>
        <w:tc>
          <w:tcPr>
            <w:tcW w:w="136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1145500.00</w:t>
            </w:r>
          </w:p>
        </w:tc>
        <w:tc>
          <w:tcPr>
            <w:tcW w:w="148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1153600.00</w:t>
            </w:r>
          </w:p>
        </w:tc>
      </w:tr>
      <w:tr>
        <w:tblPrEx>
          <w:tblCellMar>
            <w:top w:w="0" w:type="dxa"/>
            <w:left w:w="108" w:type="dxa"/>
            <w:bottom w:w="0" w:type="dxa"/>
            <w:right w:w="108" w:type="dxa"/>
          </w:tblCellMar>
        </w:tblPrEx>
        <w:trPr>
          <w:trHeight w:val="347" w:hRule="atLeast"/>
        </w:trPr>
        <w:tc>
          <w:tcPr>
            <w:tcW w:w="791"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eastAsia="仿宋_GB2312"/>
                <w:color w:val="000000"/>
                <w:sz w:val="24"/>
              </w:rPr>
            </w:pPr>
            <w:r>
              <w:rPr>
                <w:rFonts w:eastAsia="仿宋_GB2312"/>
                <w:color w:val="000000"/>
                <w:sz w:val="24"/>
              </w:rPr>
              <w:t>2017</w:t>
            </w:r>
          </w:p>
        </w:tc>
        <w:tc>
          <w:tcPr>
            <w:tcW w:w="135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10125.00</w:t>
            </w:r>
          </w:p>
        </w:tc>
        <w:tc>
          <w:tcPr>
            <w:tcW w:w="136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1152750.00</w:t>
            </w:r>
          </w:p>
        </w:tc>
        <w:tc>
          <w:tcPr>
            <w:tcW w:w="148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1162875.00</w:t>
            </w:r>
          </w:p>
        </w:tc>
      </w:tr>
      <w:tr>
        <w:tblPrEx>
          <w:tblCellMar>
            <w:top w:w="0" w:type="dxa"/>
            <w:left w:w="108" w:type="dxa"/>
            <w:bottom w:w="0" w:type="dxa"/>
            <w:right w:w="108" w:type="dxa"/>
          </w:tblCellMar>
        </w:tblPrEx>
        <w:trPr>
          <w:trHeight w:val="347" w:hRule="atLeast"/>
        </w:trPr>
        <w:tc>
          <w:tcPr>
            <w:tcW w:w="791"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eastAsia="仿宋_GB2312"/>
                <w:color w:val="000000"/>
                <w:sz w:val="24"/>
              </w:rPr>
            </w:pPr>
            <w:r>
              <w:rPr>
                <w:rFonts w:eastAsia="仿宋_GB2312"/>
                <w:color w:val="000000"/>
                <w:sz w:val="24"/>
              </w:rPr>
              <w:t>2018</w:t>
            </w:r>
          </w:p>
        </w:tc>
        <w:tc>
          <w:tcPr>
            <w:tcW w:w="135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10952.42</w:t>
            </w:r>
          </w:p>
        </w:tc>
        <w:tc>
          <w:tcPr>
            <w:tcW w:w="136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1163737.64</w:t>
            </w:r>
          </w:p>
        </w:tc>
        <w:tc>
          <w:tcPr>
            <w:tcW w:w="148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1174690.05</w:t>
            </w:r>
          </w:p>
        </w:tc>
      </w:tr>
      <w:tr>
        <w:tblPrEx>
          <w:tblCellMar>
            <w:top w:w="0" w:type="dxa"/>
            <w:left w:w="108" w:type="dxa"/>
            <w:bottom w:w="0" w:type="dxa"/>
            <w:right w:w="108" w:type="dxa"/>
          </w:tblCellMar>
        </w:tblPrEx>
        <w:trPr>
          <w:trHeight w:val="347" w:hRule="atLeast"/>
        </w:trPr>
        <w:tc>
          <w:tcPr>
            <w:tcW w:w="791"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eastAsia="仿宋_GB2312"/>
                <w:color w:val="000000"/>
                <w:sz w:val="24"/>
              </w:rPr>
            </w:pPr>
            <w:bookmarkStart w:id="23" w:name="_Hlk34842921"/>
            <w:r>
              <w:rPr>
                <w:rFonts w:eastAsia="仿宋_GB2312"/>
                <w:color w:val="000000"/>
                <w:sz w:val="24"/>
              </w:rPr>
              <w:t>2019</w:t>
            </w:r>
          </w:p>
        </w:tc>
        <w:tc>
          <w:tcPr>
            <w:tcW w:w="1358"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10616.72</w:t>
            </w:r>
          </w:p>
        </w:tc>
        <w:tc>
          <w:tcPr>
            <w:tcW w:w="1368"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1192094.66</w:t>
            </w:r>
          </w:p>
        </w:tc>
        <w:tc>
          <w:tcPr>
            <w:tcW w:w="148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1202711.39</w:t>
            </w:r>
          </w:p>
        </w:tc>
      </w:tr>
      <w:tr>
        <w:tblPrEx>
          <w:tblCellMar>
            <w:top w:w="0" w:type="dxa"/>
            <w:left w:w="108" w:type="dxa"/>
            <w:bottom w:w="0" w:type="dxa"/>
            <w:right w:w="108" w:type="dxa"/>
          </w:tblCellMar>
        </w:tblPrEx>
        <w:trPr>
          <w:trHeight w:val="347" w:hRule="atLeast"/>
        </w:trPr>
        <w:tc>
          <w:tcPr>
            <w:tcW w:w="791"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eastAsia="仿宋_GB2312"/>
                <w:color w:val="000000"/>
                <w:sz w:val="24"/>
              </w:rPr>
            </w:pPr>
            <w:r>
              <w:rPr>
                <w:rFonts w:hint="eastAsia" w:eastAsia="仿宋_GB2312"/>
                <w:color w:val="000000"/>
                <w:sz w:val="24"/>
              </w:rPr>
              <w:t>2</w:t>
            </w:r>
            <w:r>
              <w:rPr>
                <w:rFonts w:eastAsia="仿宋_GB2312"/>
                <w:color w:val="000000"/>
                <w:sz w:val="24"/>
              </w:rPr>
              <w:t>020</w:t>
            </w:r>
          </w:p>
        </w:tc>
        <w:tc>
          <w:tcPr>
            <w:tcW w:w="1358"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10616.72</w:t>
            </w:r>
          </w:p>
        </w:tc>
        <w:tc>
          <w:tcPr>
            <w:tcW w:w="1368"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1192094.66</w:t>
            </w:r>
          </w:p>
        </w:tc>
        <w:tc>
          <w:tcPr>
            <w:tcW w:w="148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80"/>
              <w:jc w:val="center"/>
              <w:textAlignment w:val="auto"/>
              <w:rPr>
                <w:rFonts w:ascii="Times New Roman" w:hAnsi="Times New Roman"/>
              </w:rPr>
            </w:pPr>
            <w:r>
              <w:rPr>
                <w:rFonts w:ascii="Times New Roman" w:hAnsi="Times New Roman"/>
              </w:rPr>
              <w:t>1202711.39</w:t>
            </w:r>
          </w:p>
        </w:tc>
      </w:tr>
      <w:bookmarkEnd w:id="23"/>
    </w:tbl>
    <w:p>
      <w:pPr>
        <w:ind w:firstLine="440" w:firstLineChars="200"/>
      </w:pPr>
    </w:p>
    <w:p>
      <w:pPr>
        <w:jc w:val="center"/>
      </w:pPr>
      <w:r>
        <w:rPr>
          <w:lang w:val="en-US"/>
        </w:rPr>
        <w:drawing>
          <wp:inline distT="0" distB="0" distL="0" distR="0">
            <wp:extent cx="4568825" cy="2740025"/>
            <wp:effectExtent l="0" t="0" r="3175" b="3175"/>
            <wp:docPr id="4"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pPr>
        <w:spacing w:after="0" w:line="560" w:lineRule="exact"/>
        <w:jc w:val="center"/>
        <w:rPr>
          <w:rFonts w:eastAsia="仿宋_GB2312"/>
          <w:sz w:val="32"/>
          <w:szCs w:val="32"/>
        </w:rPr>
      </w:pPr>
      <w:r>
        <w:rPr>
          <w:rFonts w:hint="eastAsia" w:eastAsia="仿宋_GB2312"/>
          <w:sz w:val="24"/>
        </w:rPr>
        <w:t>图</w:t>
      </w:r>
      <w:r>
        <w:rPr>
          <w:rFonts w:eastAsia="仿宋_GB2312"/>
          <w:sz w:val="24"/>
        </w:rPr>
        <w:t>XX  排放量</w:t>
      </w:r>
      <w:r>
        <w:rPr>
          <w:rFonts w:hint="eastAsia" w:eastAsia="仿宋_GB2312"/>
          <w:sz w:val="24"/>
        </w:rPr>
        <w:t>变化趋势图（增加2</w:t>
      </w:r>
      <w:r>
        <w:rPr>
          <w:rFonts w:eastAsia="仿宋_GB2312"/>
          <w:sz w:val="24"/>
        </w:rPr>
        <w:t>020年）</w:t>
      </w:r>
    </w:p>
    <w:p>
      <w:pPr>
        <w:spacing w:after="0" w:line="560" w:lineRule="exact"/>
        <w:ind w:firstLine="640" w:firstLineChars="200"/>
        <w:rPr>
          <w:rFonts w:eastAsia="仿宋_GB2312"/>
          <w:sz w:val="32"/>
          <w:szCs w:val="32"/>
        </w:rPr>
      </w:pPr>
      <w:r>
        <w:rPr>
          <w:rFonts w:hint="eastAsia" w:eastAsia="仿宋_GB2312"/>
          <w:sz w:val="32"/>
          <w:szCs w:val="32"/>
        </w:rPr>
        <w:t>4. 核算和报告边界变化</w:t>
      </w:r>
      <w:r>
        <w:rPr>
          <w:rFonts w:hint="eastAsia" w:ascii="Times New Roman" w:hAnsi="Times New Roman" w:eastAsia="仿宋_GB2312"/>
          <w:sz w:val="32"/>
          <w:szCs w:val="32"/>
        </w:rPr>
        <w:t>（含设施变化）</w:t>
      </w:r>
      <w:r>
        <w:rPr>
          <w:rFonts w:hint="eastAsia" w:eastAsia="仿宋_GB2312"/>
          <w:sz w:val="32"/>
          <w:szCs w:val="32"/>
        </w:rPr>
        <w:t>情况</w:t>
      </w:r>
    </w:p>
    <w:p>
      <w:pPr>
        <w:spacing w:after="0" w:line="560" w:lineRule="exact"/>
        <w:ind w:firstLine="640" w:firstLineChars="200"/>
        <w:rPr>
          <w:rFonts w:eastAsia="仿宋_GB2312"/>
          <w:sz w:val="32"/>
          <w:szCs w:val="32"/>
        </w:rPr>
      </w:pPr>
      <w:r>
        <w:rPr>
          <w:rFonts w:hint="eastAsia" w:eastAsia="仿宋_GB2312"/>
          <w:sz w:val="32"/>
          <w:szCs w:val="32"/>
        </w:rPr>
        <w:t>4.1 本年度场所边界的变化</w:t>
      </w:r>
    </w:p>
    <w:p>
      <w:pPr>
        <w:spacing w:after="0" w:line="560" w:lineRule="exact"/>
        <w:ind w:firstLine="640" w:firstLineChars="200"/>
        <w:jc w:val="both"/>
        <w:rPr>
          <w:rFonts w:eastAsia="仿宋_GB2312"/>
          <w:sz w:val="32"/>
          <w:szCs w:val="32"/>
        </w:rPr>
      </w:pPr>
      <w:r>
        <w:rPr>
          <w:rFonts w:hint="eastAsia" w:eastAsia="仿宋_GB2312"/>
          <w:sz w:val="32"/>
          <w:szCs w:val="32"/>
        </w:rPr>
        <w:t>排放单位核算和报告边界为北京市辖区内的两个行政办公楼（xxx、x</w:t>
      </w:r>
      <w:r>
        <w:rPr>
          <w:rFonts w:eastAsia="仿宋_GB2312"/>
          <w:sz w:val="32"/>
          <w:szCs w:val="32"/>
        </w:rPr>
        <w:t>xx</w:t>
      </w:r>
      <w:r>
        <w:rPr>
          <w:rFonts w:hint="eastAsia" w:eastAsia="仿宋_GB2312"/>
          <w:sz w:val="32"/>
          <w:szCs w:val="32"/>
        </w:rPr>
        <w:t>）、xx个通信局所场所（办公楼、机房、基站、营业厅）以及xx个独立的营业厅、xx个基站、xx个大型数据中心。与上一年度相比，增加了2台燃气锅炉，xx个基站；与基准年相比，增加了2台燃气锅炉，xx个基站。</w:t>
      </w:r>
    </w:p>
    <w:p>
      <w:pPr>
        <w:spacing w:after="0" w:line="560" w:lineRule="exact"/>
        <w:ind w:firstLine="640" w:firstLineChars="200"/>
        <w:rPr>
          <w:rFonts w:eastAsia="仿宋_GB2312"/>
          <w:sz w:val="32"/>
          <w:szCs w:val="32"/>
        </w:rPr>
      </w:pPr>
      <w:r>
        <w:rPr>
          <w:rFonts w:hint="eastAsia" w:eastAsia="仿宋_GB2312"/>
          <w:sz w:val="32"/>
          <w:szCs w:val="32"/>
        </w:rPr>
        <w:t>4.2</w:t>
      </w:r>
      <w:r>
        <w:rPr>
          <w:rFonts w:eastAsia="仿宋_GB2312"/>
          <w:sz w:val="32"/>
          <w:szCs w:val="32"/>
        </w:rPr>
        <w:t>本年度排放设施的变化</w:t>
      </w:r>
    </w:p>
    <w:p>
      <w:pPr>
        <w:spacing w:after="0" w:line="560" w:lineRule="exact"/>
        <w:ind w:firstLine="465"/>
        <w:rPr>
          <w:rFonts w:eastAsia="仿宋_GB2312"/>
          <w:sz w:val="32"/>
          <w:szCs w:val="32"/>
        </w:rPr>
      </w:pPr>
      <w:r>
        <w:rPr>
          <w:rFonts w:eastAsia="仿宋_GB2312"/>
          <w:sz w:val="32"/>
          <w:szCs w:val="32"/>
        </w:rPr>
        <w:t>排放单位不涉及既有配额调整。</w:t>
      </w:r>
    </w:p>
    <w:p>
      <w:pPr>
        <w:spacing w:after="0" w:line="560" w:lineRule="exact"/>
        <w:ind w:firstLine="465"/>
        <w:jc w:val="both"/>
        <w:rPr>
          <w:rFonts w:eastAsia="仿宋_GB2312"/>
          <w:sz w:val="32"/>
          <w:szCs w:val="32"/>
        </w:rPr>
      </w:pPr>
      <w:r>
        <w:rPr>
          <w:rFonts w:eastAsia="仿宋_GB2312"/>
          <w:sz w:val="32"/>
          <w:szCs w:val="32"/>
        </w:rPr>
        <w:t>排放单位</w:t>
      </w:r>
      <w:r>
        <w:rPr>
          <w:rFonts w:hint="eastAsia" w:eastAsia="仿宋_GB2312"/>
          <w:sz w:val="32"/>
          <w:szCs w:val="32"/>
        </w:rPr>
        <w:t>XXXX年</w:t>
      </w:r>
      <w:r>
        <w:rPr>
          <w:rFonts w:eastAsia="仿宋_GB2312"/>
          <w:sz w:val="32"/>
          <w:szCs w:val="32"/>
        </w:rPr>
        <w:t>期间新增2台燃气锅炉，目前燃气锅炉为xx台。排放单位未对化石燃料设施替代进行统计，新增排放申请也未对化石燃料进行申请。新增设施主要包括通信网络设施及其配套空调、电源、监控等直接用于通信网络运营的设施。其中，直接用于通信网络运行的设施包括提供移动通信服务的室外站(2G/3G/4G) 、室内站(2G/3G/4G) 、室外站5G 和室内站5G；提供数据通信服务的IDC（数据中心）；提供传输、宽带、信息化、互联网等多种通信服务的各种固定网络设施等。上述设施均为新建设施，分布在市区及郊区的各类机房及基站内，不对原有设施替代。新增设施及其排放情况如下表所示：</w:t>
      </w:r>
    </w:p>
    <w:p>
      <w:pPr>
        <w:spacing w:after="0" w:line="560" w:lineRule="exact"/>
        <w:jc w:val="center"/>
        <w:rPr>
          <w:rFonts w:eastAsia="仿宋_GB2312"/>
          <w:sz w:val="32"/>
          <w:szCs w:val="32"/>
        </w:rPr>
      </w:pPr>
      <w:r>
        <w:rPr>
          <w:rFonts w:eastAsia="仿宋_GB2312"/>
          <w:sz w:val="24"/>
        </w:rPr>
        <w:t xml:space="preserve">表XX  </w:t>
      </w:r>
      <w:r>
        <w:rPr>
          <w:rFonts w:hint="eastAsia" w:eastAsia="仿宋_GB2312"/>
          <w:sz w:val="24"/>
        </w:rPr>
        <w:t>新增设施信息</w:t>
      </w:r>
      <w:r>
        <w:rPr>
          <w:rFonts w:eastAsia="仿宋_GB2312"/>
          <w:sz w:val="24"/>
        </w:rPr>
        <w:t>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5"/>
        <w:gridCol w:w="1002"/>
        <w:gridCol w:w="1190"/>
        <w:gridCol w:w="2701"/>
        <w:gridCol w:w="1292"/>
        <w:gridCol w:w="1306"/>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blHeader/>
        </w:trPr>
        <w:tc>
          <w:tcPr>
            <w:tcW w:w="285"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color w:val="000000"/>
                <w:sz w:val="24"/>
              </w:rPr>
            </w:pPr>
            <w:r>
              <w:rPr>
                <w:rFonts w:eastAsia="仿宋_GB2312"/>
                <w:color w:val="000000"/>
                <w:sz w:val="24"/>
              </w:rPr>
              <w:t>序号</w:t>
            </w:r>
          </w:p>
        </w:tc>
        <w:tc>
          <w:tcPr>
            <w:tcW w:w="55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ind w:left="-110" w:leftChars="-50" w:right="-110" w:rightChars="-50"/>
              <w:textAlignment w:val="auto"/>
              <w:rPr>
                <w:rFonts w:eastAsia="仿宋_GB2312"/>
                <w:color w:val="000000"/>
                <w:sz w:val="24"/>
              </w:rPr>
            </w:pPr>
            <w:r>
              <w:rPr>
                <w:rFonts w:hint="eastAsia" w:eastAsia="仿宋_GB2312"/>
                <w:color w:val="000000"/>
                <w:sz w:val="24"/>
              </w:rPr>
              <w:t>设施新增年份</w:t>
            </w:r>
          </w:p>
        </w:tc>
        <w:tc>
          <w:tcPr>
            <w:tcW w:w="2148" w:type="pct"/>
            <w:gridSpan w:val="2"/>
            <w:vAlign w:val="center"/>
          </w:tcPr>
          <w:p>
            <w:pPr>
              <w:keepNext w:val="0"/>
              <w:keepLines w:val="0"/>
              <w:pageBreakBefore w:val="0"/>
              <w:widowControl/>
              <w:tabs>
                <w:tab w:val="left" w:pos="1701"/>
              </w:tabs>
              <w:kinsoku/>
              <w:wordWrap/>
              <w:overflowPunct/>
              <w:topLinePunct w:val="0"/>
              <w:autoSpaceDE/>
              <w:autoSpaceDN/>
              <w:bidi w:val="0"/>
              <w:adjustRightInd/>
              <w:snapToGrid/>
              <w:spacing w:after="0"/>
              <w:ind w:left="-110" w:leftChars="-50" w:right="-110" w:rightChars="-50"/>
              <w:jc w:val="center"/>
              <w:textAlignment w:val="auto"/>
              <w:rPr>
                <w:rFonts w:eastAsia="仿宋_GB2312"/>
                <w:color w:val="000000"/>
                <w:sz w:val="24"/>
              </w:rPr>
            </w:pPr>
            <w:r>
              <w:rPr>
                <w:rFonts w:eastAsia="仿宋_GB2312"/>
                <w:color w:val="000000"/>
                <w:sz w:val="24"/>
              </w:rPr>
              <w:t>新增</w:t>
            </w:r>
            <w:r>
              <w:rPr>
                <w:rFonts w:hint="eastAsia" w:eastAsia="仿宋_GB2312"/>
                <w:color w:val="000000"/>
                <w:sz w:val="24"/>
              </w:rPr>
              <w:t>设施</w:t>
            </w:r>
            <w:r>
              <w:rPr>
                <w:rFonts w:eastAsia="仿宋_GB2312"/>
                <w:color w:val="000000"/>
                <w:sz w:val="24"/>
              </w:rPr>
              <w:t>类型</w:t>
            </w:r>
            <w:r>
              <w:rPr>
                <w:rStyle w:val="40"/>
                <w:rFonts w:eastAsia="仿宋_GB2312"/>
                <w:color w:val="000000"/>
                <w:sz w:val="24"/>
              </w:rPr>
              <w:footnoteReference w:id="0"/>
            </w:r>
          </w:p>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color w:val="000000"/>
                <w:sz w:val="24"/>
              </w:rPr>
            </w:pP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ind w:left="-110" w:leftChars="-50" w:right="-110" w:rightChars="-50"/>
              <w:textAlignment w:val="auto"/>
              <w:rPr>
                <w:rFonts w:eastAsia="仿宋_GB2312"/>
                <w:color w:val="000000"/>
                <w:sz w:val="24"/>
              </w:rPr>
            </w:pPr>
            <w:r>
              <w:rPr>
                <w:rFonts w:eastAsia="仿宋_GB2312"/>
                <w:color w:val="000000"/>
                <w:sz w:val="24"/>
              </w:rPr>
              <w:t>是否替代既有设施，被替代既有设施类型</w:t>
            </w:r>
          </w:p>
        </w:tc>
        <w:tc>
          <w:tcPr>
            <w:tcW w:w="721" w:type="pct"/>
            <w:tcBorders>
              <w:bottom w:val="single" w:color="auto" w:sz="4" w:space="0"/>
            </w:tcBorders>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color w:val="000000"/>
                <w:sz w:val="24"/>
              </w:rPr>
            </w:pPr>
            <w:r>
              <w:rPr>
                <w:rFonts w:hint="eastAsia" w:eastAsia="仿宋_GB2312"/>
                <w:color w:val="000000"/>
                <w:sz w:val="24"/>
              </w:rPr>
              <w:t>新增设施</w:t>
            </w:r>
            <w:r>
              <w:rPr>
                <w:rFonts w:eastAsia="仿宋_GB2312"/>
                <w:color w:val="000000"/>
                <w:sz w:val="24"/>
              </w:rPr>
              <w:t>排放量（吨）</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ind w:left="-110" w:leftChars="-50" w:right="-110" w:rightChars="-50"/>
              <w:textAlignment w:val="auto"/>
              <w:rPr>
                <w:rFonts w:eastAsia="仿宋_GB2312"/>
                <w:color w:val="000000"/>
                <w:sz w:val="24"/>
              </w:rPr>
            </w:pPr>
            <w:r>
              <w:rPr>
                <w:rFonts w:hint="eastAsia" w:eastAsia="仿宋_GB2312"/>
                <w:color w:val="000000"/>
                <w:sz w:val="24"/>
              </w:rPr>
              <w:t>替代既有设施的新增排放量(吨)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85"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1</w:t>
            </w:r>
          </w:p>
        </w:tc>
        <w:tc>
          <w:tcPr>
            <w:tcW w:w="55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hint="eastAsia" w:eastAsia="仿宋_GB2312"/>
                <w:sz w:val="24"/>
              </w:rPr>
              <w:t>2019</w:t>
            </w:r>
          </w:p>
        </w:tc>
        <w:tc>
          <w:tcPr>
            <w:tcW w:w="65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数据中心</w:t>
            </w: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新增IDC机房设备</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124600.07</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sz w:val="24"/>
              </w:rPr>
            </w:pP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85" w:type="pct"/>
            <w:vMerge w:val="restar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2</w:t>
            </w:r>
          </w:p>
        </w:tc>
        <w:tc>
          <w:tcPr>
            <w:tcW w:w="553" w:type="pct"/>
            <w:vMerge w:val="restar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hint="eastAsia" w:eastAsia="仿宋_GB2312"/>
                <w:sz w:val="24"/>
              </w:rPr>
              <w:t>2019</w:t>
            </w:r>
          </w:p>
        </w:tc>
        <w:tc>
          <w:tcPr>
            <w:tcW w:w="657" w:type="pct"/>
            <w:vMerge w:val="restar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移动通信设施</w:t>
            </w: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室外站(2G/3G/4G)</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195644.96</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sz w:val="24"/>
              </w:rPr>
            </w:pP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85"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553"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657"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室内站(2G/3G/4G)</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114072.95</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sz w:val="24"/>
              </w:rPr>
            </w:pPr>
            <w:r>
              <w:rPr>
                <w:rFonts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285"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553"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657"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室外站5G</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367.84</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sz w:val="24"/>
              </w:rPr>
            </w:pPr>
            <w:r>
              <w:rPr>
                <w:rFonts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285"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553"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657"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室内站5G</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0.00</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sz w:val="24"/>
              </w:rPr>
            </w:pPr>
            <w:r>
              <w:rPr>
                <w:rFonts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85" w:type="pct"/>
            <w:vMerge w:val="restar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3</w:t>
            </w:r>
          </w:p>
        </w:tc>
        <w:tc>
          <w:tcPr>
            <w:tcW w:w="553" w:type="pct"/>
            <w:vMerge w:val="restar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hint="eastAsia" w:eastAsia="仿宋_GB2312"/>
                <w:sz w:val="24"/>
              </w:rPr>
              <w:t>20</w:t>
            </w:r>
            <w:r>
              <w:rPr>
                <w:rFonts w:eastAsia="仿宋_GB2312"/>
                <w:sz w:val="24"/>
              </w:rPr>
              <w:t>20</w:t>
            </w:r>
          </w:p>
        </w:tc>
        <w:tc>
          <w:tcPr>
            <w:tcW w:w="657" w:type="pct"/>
            <w:vMerge w:val="restar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固定及移动网络通信设施</w:t>
            </w: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固定网主要传输设备（包括ATM、DDN、DPN、FR、IPRNA、MSTP、OTN、PTN、SDH）</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22569.37</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sz w:val="24"/>
              </w:rPr>
            </w:pPr>
            <w:r>
              <w:rPr>
                <w:rFonts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1" w:hRule="atLeast"/>
        </w:trPr>
        <w:tc>
          <w:tcPr>
            <w:tcW w:w="285"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553"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657"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固定网主要宽带设备（包括OLT、汇聚交换机、服务器、BRAS）</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14792.26</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sz w:val="24"/>
              </w:rPr>
            </w:pPr>
            <w:r>
              <w:rPr>
                <w:rFonts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85"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553"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657"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固定网主要信息化设备（包括PC服务器、SAN网交换机、带库、安全设备、磁盘阵列、光纤交换机、交换机、路由器、小型机）</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78708.15</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85"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553"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657" w:type="pct"/>
            <w:vMerge w:val="continue"/>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固定网主要互联网设备</w:t>
            </w:r>
            <w:r>
              <w:rPr>
                <w:rFonts w:hint="eastAsia" w:eastAsia="仿宋_GB2312"/>
                <w:sz w:val="24"/>
              </w:rPr>
              <w:t>：xxxx个</w:t>
            </w: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否</w:t>
            </w: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8048.60</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285"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r>
              <w:rPr>
                <w:rFonts w:eastAsia="仿宋_GB2312"/>
                <w:sz w:val="24"/>
              </w:rPr>
              <w:t>合计</w:t>
            </w:r>
          </w:p>
        </w:tc>
        <w:tc>
          <w:tcPr>
            <w:tcW w:w="55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65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1491"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713"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textAlignment w:val="auto"/>
              <w:rPr>
                <w:rFonts w:eastAsia="仿宋_GB2312"/>
                <w:sz w:val="24"/>
              </w:rPr>
            </w:pPr>
          </w:p>
        </w:tc>
        <w:tc>
          <w:tcPr>
            <w:tcW w:w="721" w:type="pct"/>
            <w:tcBorders>
              <w:top w:val="single" w:color="auto" w:sz="4" w:space="0"/>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Times New Roman" w:hAnsi="Times New Roman" w:eastAsia="等线"/>
                <w:color w:val="000000"/>
              </w:rPr>
            </w:pPr>
            <w:r>
              <w:rPr>
                <w:rFonts w:ascii="Times New Roman" w:hAnsi="Times New Roman" w:eastAsia="等线"/>
                <w:color w:val="000000"/>
              </w:rPr>
              <w:t>558804.19</w:t>
            </w:r>
          </w:p>
        </w:tc>
        <w:tc>
          <w:tcPr>
            <w:tcW w:w="577" w:type="pct"/>
            <w:vAlign w:val="center"/>
          </w:tcPr>
          <w:p>
            <w:pPr>
              <w:keepNext w:val="0"/>
              <w:keepLines w:val="0"/>
              <w:pageBreakBefore w:val="0"/>
              <w:widowControl/>
              <w:tabs>
                <w:tab w:val="left" w:pos="1701"/>
              </w:tabs>
              <w:kinsoku/>
              <w:wordWrap/>
              <w:overflowPunct/>
              <w:topLinePunct w:val="0"/>
              <w:autoSpaceDE/>
              <w:autoSpaceDN/>
              <w:bidi w:val="0"/>
              <w:adjustRightInd/>
              <w:snapToGrid/>
              <w:spacing w:after="0"/>
              <w:jc w:val="center"/>
              <w:textAlignment w:val="auto"/>
              <w:rPr>
                <w:rFonts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000" w:type="pct"/>
            <w:gridSpan w:val="7"/>
            <w:vAlign w:val="center"/>
          </w:tcPr>
          <w:p>
            <w:pPr>
              <w:keepNext w:val="0"/>
              <w:keepLines w:val="0"/>
              <w:pageBreakBefore w:val="0"/>
              <w:widowControl/>
              <w:kinsoku/>
              <w:wordWrap/>
              <w:overflowPunct/>
              <w:topLinePunct w:val="0"/>
              <w:autoSpaceDE/>
              <w:autoSpaceDN/>
              <w:bidi w:val="0"/>
              <w:adjustRightInd/>
              <w:snapToGrid/>
              <w:spacing w:after="0"/>
              <w:textAlignment w:val="auto"/>
              <w:rPr>
                <w:rFonts w:eastAsia="仿宋_GB2312"/>
                <w:color w:val="000000"/>
                <w:sz w:val="24"/>
              </w:rPr>
            </w:pPr>
            <w:r>
              <w:rPr>
                <w:rFonts w:eastAsia="仿宋_GB2312"/>
                <w:color w:val="000000"/>
                <w:sz w:val="24"/>
              </w:rPr>
              <w:t>备注：</w:t>
            </w:r>
          </w:p>
          <w:p>
            <w:pPr>
              <w:keepNext w:val="0"/>
              <w:keepLines w:val="0"/>
              <w:pageBreakBefore w:val="0"/>
              <w:widowControl/>
              <w:kinsoku/>
              <w:wordWrap/>
              <w:overflowPunct/>
              <w:topLinePunct w:val="0"/>
              <w:autoSpaceDE/>
              <w:autoSpaceDN/>
              <w:bidi w:val="0"/>
              <w:adjustRightInd/>
              <w:snapToGrid/>
              <w:spacing w:after="0"/>
              <w:ind w:left="-110" w:leftChars="-50" w:right="-110" w:rightChars="-50"/>
              <w:textAlignment w:val="auto"/>
              <w:rPr>
                <w:rFonts w:eastAsia="仿宋_GB2312"/>
                <w:sz w:val="24"/>
              </w:rPr>
            </w:pPr>
            <w:r>
              <w:rPr>
                <w:rFonts w:hint="eastAsia" w:eastAsia="仿宋_GB2312"/>
                <w:color w:val="000000"/>
                <w:sz w:val="24"/>
              </w:rPr>
              <w:t>1）</w:t>
            </w:r>
            <w:r>
              <w:rPr>
                <w:rFonts w:eastAsia="仿宋_GB2312"/>
                <w:sz w:val="24"/>
              </w:rPr>
              <w:t>室外站(2G/3G/4G)每月用电量为</w:t>
            </w:r>
            <w:r>
              <w:rPr>
                <w:rFonts w:hint="eastAsia" w:eastAsia="仿宋_GB2312"/>
                <w:sz w:val="24"/>
              </w:rPr>
              <w:t>xxx</w:t>
            </w:r>
            <w:r>
              <w:rPr>
                <w:rFonts w:eastAsia="仿宋_GB2312"/>
                <w:sz w:val="24"/>
              </w:rPr>
              <w:t>度，室内站(2G/3G/4G)每月用电量为</w:t>
            </w:r>
            <w:r>
              <w:rPr>
                <w:rFonts w:hint="eastAsia" w:eastAsia="仿宋_GB2312"/>
                <w:sz w:val="24"/>
              </w:rPr>
              <w:t>xxx</w:t>
            </w:r>
            <w:r>
              <w:rPr>
                <w:rFonts w:eastAsia="仿宋_GB2312"/>
                <w:sz w:val="24"/>
              </w:rPr>
              <w:t>度，室外站5G每月用电量为</w:t>
            </w:r>
            <w:r>
              <w:rPr>
                <w:rFonts w:hint="eastAsia" w:eastAsia="仿宋_GB2312"/>
                <w:sz w:val="24"/>
              </w:rPr>
              <w:t>xxxx</w:t>
            </w:r>
            <w:r>
              <w:rPr>
                <w:rFonts w:eastAsia="仿宋_GB2312"/>
                <w:sz w:val="24"/>
              </w:rPr>
              <w:t>度，室内站5G尚未通入使用，无法实测用电量。</w:t>
            </w:r>
          </w:p>
          <w:p>
            <w:pPr>
              <w:keepNext w:val="0"/>
              <w:keepLines w:val="0"/>
              <w:pageBreakBefore w:val="0"/>
              <w:widowControl/>
              <w:tabs>
                <w:tab w:val="left" w:pos="1701"/>
              </w:tabs>
              <w:kinsoku/>
              <w:wordWrap/>
              <w:overflowPunct/>
              <w:topLinePunct w:val="0"/>
              <w:autoSpaceDE/>
              <w:autoSpaceDN/>
              <w:bidi w:val="0"/>
              <w:adjustRightInd/>
              <w:snapToGrid/>
              <w:spacing w:after="0"/>
              <w:ind w:left="-110" w:leftChars="-50" w:right="-110" w:rightChars="-50"/>
              <w:textAlignment w:val="auto"/>
              <w:rPr>
                <w:rFonts w:eastAsia="仿宋_GB2312"/>
                <w:color w:val="000000"/>
                <w:sz w:val="24"/>
              </w:rPr>
            </w:pPr>
            <w:r>
              <w:rPr>
                <w:rFonts w:hint="eastAsia" w:eastAsia="仿宋_GB2312"/>
                <w:sz w:val="24"/>
              </w:rPr>
              <w:t>2）</w:t>
            </w:r>
            <w:r>
              <w:rPr>
                <w:rFonts w:eastAsia="仿宋_GB2312"/>
                <w:sz w:val="24"/>
              </w:rPr>
              <w:t>随着IDC的新建，新增设施的使用系数将进一步降低，核查组要求排放单位对2020年度的使用系数进行统计并更新，按照北京市数据中心IT设备实际负载率</w:t>
            </w:r>
            <w:r>
              <w:rPr>
                <w:rFonts w:hint="eastAsia" w:eastAsia="仿宋_GB2312"/>
                <w:sz w:val="24"/>
              </w:rPr>
              <w:t>xx</w:t>
            </w:r>
            <w:r>
              <w:rPr>
                <w:rFonts w:eastAsia="仿宋_GB2312"/>
                <w:sz w:val="24"/>
              </w:rPr>
              <w:t>%核定，因此2020年度IDC的使用系数符合排放单位的实际情况。</w:t>
            </w:r>
          </w:p>
        </w:tc>
      </w:tr>
    </w:tbl>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新增设施排放量为558804.19吨，是基准年份排放量的</w:t>
      </w:r>
      <w:r>
        <w:rPr>
          <w:rFonts w:hint="eastAsia" w:ascii="Times New Roman" w:hAnsi="Times New Roman" w:eastAsia="仿宋_GB2312"/>
          <w:sz w:val="32"/>
          <w:szCs w:val="32"/>
        </w:rPr>
        <w:t>47.57</w:t>
      </w:r>
      <w:r>
        <w:rPr>
          <w:rFonts w:ascii="Times New Roman" w:hAnsi="Times New Roman" w:eastAsia="仿宋_GB2312"/>
          <w:sz w:val="32"/>
          <w:szCs w:val="32"/>
        </w:rPr>
        <w:t>%，新增设施对应的</w:t>
      </w:r>
      <w:r>
        <w:rPr>
          <w:rFonts w:hint="eastAsia" w:eastAsia="仿宋_GB2312"/>
          <w:sz w:val="32"/>
          <w:szCs w:val="32"/>
        </w:rPr>
        <w:t>移动业务总量为xx万元（移动语音业务总量xx万元、移动数据与互联网业务总量xx万元、移动增值及其他业务总量xx万元），</w:t>
      </w:r>
      <w:r>
        <w:rPr>
          <w:rFonts w:ascii="Times New Roman" w:hAnsi="Times New Roman" w:eastAsia="仿宋_GB2312"/>
          <w:sz w:val="32"/>
          <w:szCs w:val="32"/>
        </w:rPr>
        <w:t>新增设施对应的</w:t>
      </w:r>
      <w:r>
        <w:rPr>
          <w:rFonts w:hint="eastAsia" w:eastAsia="仿宋_GB2312"/>
          <w:sz w:val="32"/>
          <w:szCs w:val="32"/>
        </w:rPr>
        <w:t>固网业务总量xx万元。新增设施的数据中心为大型数据中心，数据中心总用电量为xxMWh，IT设备用电量为xxMWh。</w:t>
      </w:r>
      <w:r>
        <w:rPr>
          <w:rFonts w:ascii="Times New Roman" w:hAnsi="Times New Roman" w:eastAsia="仿宋_GB2312"/>
          <w:sz w:val="32"/>
          <w:szCs w:val="32"/>
        </w:rPr>
        <w:t>此信息供新增设施配额发放参考。</w:t>
      </w:r>
    </w:p>
    <w:p>
      <w:pPr>
        <w:spacing w:after="0" w:line="56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 核查过程未覆盖的问题描述</w:t>
      </w:r>
    </w:p>
    <w:p>
      <w:pPr>
        <w:spacing w:after="0" w:line="560" w:lineRule="exact"/>
        <w:ind w:firstLine="465"/>
        <w:jc w:val="both"/>
        <w:rPr>
          <w:rFonts w:eastAsia="仿宋_GB2312"/>
          <w:sz w:val="32"/>
          <w:szCs w:val="32"/>
        </w:rPr>
      </w:pPr>
      <w:r>
        <w:rPr>
          <w:rFonts w:eastAsia="仿宋_GB2312"/>
          <w:sz w:val="32"/>
          <w:szCs w:val="32"/>
        </w:rPr>
        <w:t>由于天然气表和电表分别为燃气公司及电力公司管控，因此未能核查这些仪表的检定信息。</w:t>
      </w:r>
    </w:p>
    <w:p>
      <w:pPr>
        <w:spacing w:after="0" w:line="560" w:lineRule="exact"/>
        <w:ind w:firstLine="465"/>
        <w:jc w:val="both"/>
        <w:rPr>
          <w:rFonts w:eastAsia="仿宋"/>
          <w:sz w:val="24"/>
        </w:rPr>
      </w:pPr>
      <w:r>
        <w:rPr>
          <w:rFonts w:eastAsia="仿宋_GB2312"/>
          <w:sz w:val="32"/>
          <w:szCs w:val="32"/>
        </w:rPr>
        <w:t>由于排放单位的新增设施台账属于保密信息，核查组未能获得完整的新增设施台账，通过现场抽查的方式确认排放单位的新增设施来源于财务入账系统和建设部门运维系统，但数量多达上万条，抽查的项目有限，因此核查过程未能完全覆盖新增设施的数量。</w:t>
      </w:r>
    </w:p>
    <w:p>
      <w:pPr>
        <w:pStyle w:val="4"/>
        <w:spacing w:before="0" w:after="0" w:line="560" w:lineRule="exact"/>
        <w:sectPr>
          <w:pgSz w:w="11906" w:h="16838"/>
          <w:pgMar w:top="2098" w:right="1474" w:bottom="1984" w:left="1587" w:header="851" w:footer="1587" w:gutter="0"/>
          <w:paperSrc/>
          <w:pgNumType w:fmt="decimal"/>
          <w:cols w:space="0" w:num="1"/>
          <w:rtlGutter w:val="0"/>
          <w:docGrid w:type="lines" w:linePitch="312" w:charSpace="0"/>
        </w:sectPr>
      </w:pPr>
    </w:p>
    <w:p>
      <w:pPr>
        <w:pStyle w:val="4"/>
        <w:spacing w:before="0" w:after="0" w:line="56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其他服务业企业（单位）</w:t>
      </w:r>
      <w:r>
        <w:rPr>
          <w:rFonts w:asciiTheme="majorEastAsia" w:hAnsiTheme="majorEastAsia" w:eastAsiaTheme="majorEastAsia"/>
          <w:sz w:val="32"/>
          <w:szCs w:val="32"/>
        </w:rPr>
        <w:t>-</w:t>
      </w:r>
      <w:r>
        <w:rPr>
          <w:rFonts w:hint="eastAsia" w:asciiTheme="majorEastAsia" w:hAnsiTheme="majorEastAsia" w:eastAsiaTheme="majorEastAsia"/>
          <w:sz w:val="32"/>
          <w:szCs w:val="32"/>
        </w:rPr>
        <w:t>银行</w:t>
      </w:r>
    </w:p>
    <w:p>
      <w:pPr>
        <w:spacing w:after="0" w:line="560" w:lineRule="exact"/>
        <w:rPr>
          <w:rFonts w:eastAsia="仿宋_GB2312"/>
          <w:sz w:val="32"/>
          <w:szCs w:val="32"/>
        </w:rPr>
      </w:pPr>
      <w:r>
        <w:rPr>
          <w:rFonts w:eastAsia="仿宋_GB2312"/>
          <w:sz w:val="32"/>
          <w:szCs w:val="32"/>
        </w:rPr>
        <w:t>核查结论</w:t>
      </w:r>
    </w:p>
    <w:p>
      <w:pPr>
        <w:spacing w:after="0" w:line="560" w:lineRule="exact"/>
        <w:ind w:firstLine="640" w:firstLineChars="200"/>
        <w:jc w:val="both"/>
        <w:rPr>
          <w:rFonts w:eastAsia="仿宋_GB2312"/>
          <w:sz w:val="32"/>
          <w:szCs w:val="32"/>
        </w:rPr>
      </w:pPr>
      <w:r>
        <w:rPr>
          <w:rFonts w:eastAsia="仿宋"/>
          <w:sz w:val="32"/>
          <w:szCs w:val="32"/>
        </w:rPr>
        <w:t>xxxx公司（以下简称排放单位）委托xxx公司开展</w:t>
      </w:r>
      <w:r>
        <w:rPr>
          <w:rFonts w:hint="eastAsia" w:eastAsia="仿宋"/>
          <w:sz w:val="32"/>
          <w:szCs w:val="32"/>
        </w:rPr>
        <w:t>XXXX年</w:t>
      </w:r>
      <w:r>
        <w:rPr>
          <w:rFonts w:eastAsia="仿宋_GB2312"/>
          <w:sz w:val="32"/>
          <w:szCs w:val="32"/>
        </w:rPr>
        <w:t>二氧化碳排放的核查工作。核查范围包括排放单位所有在北京市辖区内固定设施导致的二氧化碳直接排放和二氧化碳间接排放。</w:t>
      </w:r>
    </w:p>
    <w:p>
      <w:pPr>
        <w:spacing w:after="0" w:line="560" w:lineRule="exact"/>
        <w:ind w:firstLine="640" w:firstLineChars="200"/>
        <w:jc w:val="both"/>
        <w:rPr>
          <w:rFonts w:eastAsia="仿宋_GB2312"/>
          <w:sz w:val="32"/>
          <w:szCs w:val="32"/>
        </w:rPr>
      </w:pPr>
      <w:r>
        <w:rPr>
          <w:rFonts w:eastAsia="仿宋_GB2312"/>
          <w:sz w:val="32"/>
          <w:szCs w:val="32"/>
        </w:rPr>
        <w:t>通过文件评审、现场访问、核查报告编写及内部技术复核，核查组对排放单位</w:t>
      </w:r>
      <w:r>
        <w:rPr>
          <w:rFonts w:hint="eastAsia" w:eastAsia="仿宋_GB2312"/>
          <w:sz w:val="32"/>
          <w:szCs w:val="32"/>
        </w:rPr>
        <w:t>XXXX年</w:t>
      </w:r>
      <w:r>
        <w:rPr>
          <w:rFonts w:eastAsia="仿宋_GB2312"/>
          <w:sz w:val="32"/>
          <w:szCs w:val="32"/>
        </w:rPr>
        <w:t>度二氧化碳排放报告形成如下核查结论：</w:t>
      </w:r>
    </w:p>
    <w:p>
      <w:pPr>
        <w:spacing w:after="0" w:line="560" w:lineRule="exact"/>
        <w:ind w:firstLine="640" w:firstLineChars="200"/>
        <w:jc w:val="both"/>
        <w:rPr>
          <w:rFonts w:eastAsia="仿宋_GB2312"/>
          <w:sz w:val="32"/>
          <w:szCs w:val="32"/>
        </w:rPr>
      </w:pPr>
      <w:r>
        <w:rPr>
          <w:rFonts w:eastAsia="仿宋_GB2312"/>
          <w:sz w:val="32"/>
          <w:szCs w:val="32"/>
        </w:rPr>
        <w:t>1. 核算、报告与方法学的符合性</w:t>
      </w:r>
    </w:p>
    <w:p>
      <w:pPr>
        <w:spacing w:after="0" w:line="560" w:lineRule="exact"/>
        <w:ind w:firstLine="640" w:firstLineChars="200"/>
        <w:jc w:val="both"/>
        <w:rPr>
          <w:rFonts w:eastAsia="仿宋_GB2312"/>
          <w:sz w:val="32"/>
          <w:szCs w:val="32"/>
        </w:rPr>
      </w:pPr>
      <w:r>
        <w:rPr>
          <w:rFonts w:eastAsia="仿宋_GB2312"/>
          <w:sz w:val="32"/>
          <w:szCs w:val="32"/>
        </w:rPr>
        <w:t>核查组确认排放单位的温室气体排放核算与报告均符合方法学</w:t>
      </w:r>
      <w:r>
        <w:rPr>
          <w:rFonts w:hint="eastAsia" w:eastAsia="仿宋_GB2312"/>
          <w:sz w:val="32"/>
          <w:szCs w:val="32"/>
        </w:rPr>
        <w:t>《二氧化碳排放核算和报告要求服务业》（DB11/T 1785-2020）</w:t>
      </w:r>
      <w:r>
        <w:rPr>
          <w:rFonts w:eastAsia="仿宋_GB2312"/>
          <w:sz w:val="32"/>
          <w:szCs w:val="32"/>
        </w:rPr>
        <w:t>的要求，核查组对本排放报告出具肯定的核查结论。</w:t>
      </w:r>
    </w:p>
    <w:p>
      <w:pPr>
        <w:spacing w:after="0" w:line="560" w:lineRule="exact"/>
        <w:ind w:firstLine="640" w:firstLineChars="200"/>
        <w:jc w:val="both"/>
        <w:rPr>
          <w:rFonts w:eastAsia="仿宋_GB2312"/>
          <w:sz w:val="32"/>
          <w:szCs w:val="32"/>
        </w:rPr>
      </w:pPr>
      <w:r>
        <w:rPr>
          <w:rFonts w:hint="eastAsia" w:eastAsia="仿宋_GB2312"/>
          <w:sz w:val="32"/>
          <w:szCs w:val="32"/>
        </w:rPr>
        <w:t>2</w:t>
      </w:r>
      <w:r>
        <w:rPr>
          <w:rFonts w:eastAsia="仿宋_GB2312"/>
          <w:sz w:val="32"/>
          <w:szCs w:val="32"/>
        </w:rPr>
        <w:t>. 本年度排放量及活动水平数据的声明</w:t>
      </w:r>
    </w:p>
    <w:p>
      <w:pPr>
        <w:spacing w:after="0" w:line="560" w:lineRule="exact"/>
        <w:ind w:firstLine="640" w:firstLineChars="200"/>
        <w:jc w:val="both"/>
        <w:rPr>
          <w:rFonts w:eastAsia="仿宋_GB2312"/>
          <w:sz w:val="32"/>
          <w:szCs w:val="32"/>
        </w:rPr>
      </w:pPr>
      <w:r>
        <w:rPr>
          <w:rFonts w:eastAsia="仿宋_GB2312"/>
          <w:sz w:val="32"/>
          <w:szCs w:val="32"/>
        </w:rPr>
        <w:t>经核查的直接和间接排放量与最终排放报告中的一致。经核查的直接排放量为0吨，间接排放量为</w:t>
      </w:r>
      <w:r>
        <w:rPr>
          <w:rFonts w:eastAsia="仿宋_GB2312"/>
          <w:color w:val="000000"/>
          <w:sz w:val="32"/>
          <w:szCs w:val="32"/>
        </w:rPr>
        <w:t>15256.41</w:t>
      </w:r>
      <w:r>
        <w:rPr>
          <w:rFonts w:eastAsia="仿宋_GB2312"/>
          <w:sz w:val="32"/>
          <w:szCs w:val="32"/>
        </w:rPr>
        <w:t>吨，总排放量为</w:t>
      </w:r>
      <w:r>
        <w:rPr>
          <w:rFonts w:eastAsia="仿宋_GB2312"/>
          <w:color w:val="000000"/>
          <w:sz w:val="32"/>
          <w:szCs w:val="32"/>
        </w:rPr>
        <w:t>15256.41</w:t>
      </w:r>
      <w:r>
        <w:rPr>
          <w:rFonts w:eastAsia="仿宋_GB2312"/>
          <w:sz w:val="32"/>
          <w:szCs w:val="32"/>
        </w:rPr>
        <w:t>吨。</w:t>
      </w:r>
    </w:p>
    <w:p>
      <w:pPr>
        <w:spacing w:after="0" w:line="560" w:lineRule="exact"/>
        <w:ind w:firstLine="640" w:firstLineChars="200"/>
        <w:jc w:val="both"/>
        <w:rPr>
          <w:rFonts w:eastAsia="仿宋_GB2312"/>
          <w:sz w:val="32"/>
          <w:szCs w:val="32"/>
        </w:rPr>
      </w:pPr>
      <w:r>
        <w:rPr>
          <w:rFonts w:eastAsia="仿宋_GB2312"/>
          <w:sz w:val="32"/>
          <w:szCs w:val="32"/>
        </w:rPr>
        <w:t>经核查的非数据中心建筑面积、数据中心</w:t>
      </w:r>
      <w:r>
        <w:rPr>
          <w:rFonts w:hint="eastAsia" w:eastAsia="仿宋_GB2312"/>
          <w:sz w:val="32"/>
          <w:szCs w:val="32"/>
        </w:rPr>
        <w:t>总用电量、</w:t>
      </w:r>
      <w:r>
        <w:rPr>
          <w:rFonts w:eastAsia="仿宋_GB2312"/>
          <w:sz w:val="32"/>
          <w:szCs w:val="32"/>
        </w:rPr>
        <w:t>IT设备用电量与最终排放报告中数据一致。经核查的非数据中心建筑面积为xxx平方米</w:t>
      </w:r>
      <w:r>
        <w:rPr>
          <w:rFonts w:hint="eastAsia" w:eastAsia="仿宋_GB2312"/>
          <w:sz w:val="32"/>
          <w:szCs w:val="32"/>
        </w:rPr>
        <w:t>；xx个大型</w:t>
      </w:r>
      <w:r>
        <w:rPr>
          <w:rFonts w:eastAsia="仿宋_GB2312"/>
          <w:sz w:val="32"/>
          <w:szCs w:val="32"/>
        </w:rPr>
        <w:t>数据中心</w:t>
      </w:r>
      <w:r>
        <w:rPr>
          <w:rFonts w:hint="eastAsia" w:eastAsia="仿宋_GB2312"/>
          <w:sz w:val="32"/>
          <w:szCs w:val="32"/>
        </w:rPr>
        <w:t>总用电量为xxMWh，</w:t>
      </w:r>
      <w:r>
        <w:rPr>
          <w:rFonts w:eastAsia="仿宋_GB2312"/>
          <w:sz w:val="32"/>
          <w:szCs w:val="32"/>
        </w:rPr>
        <w:t>IT设备用电量为</w:t>
      </w:r>
      <w:r>
        <w:rPr>
          <w:rFonts w:hint="eastAsia" w:eastAsia="仿宋_GB2312"/>
          <w:sz w:val="32"/>
          <w:szCs w:val="32"/>
        </w:rPr>
        <w:t>xx</w:t>
      </w:r>
      <w:r>
        <w:rPr>
          <w:rFonts w:eastAsia="仿宋_GB2312"/>
          <w:sz w:val="32"/>
          <w:szCs w:val="32"/>
        </w:rPr>
        <w:t>MWh</w:t>
      </w:r>
      <w:r>
        <w:rPr>
          <w:rFonts w:hint="eastAsia" w:eastAsia="仿宋_GB2312"/>
          <w:sz w:val="32"/>
          <w:szCs w:val="32"/>
        </w:rPr>
        <w:t>；xx个中小型数据中心总用电量为xxMWh，IT设备用电量为xxMWh</w:t>
      </w:r>
      <w:r>
        <w:rPr>
          <w:rFonts w:eastAsia="仿宋_GB2312"/>
          <w:sz w:val="32"/>
          <w:szCs w:val="32"/>
        </w:rPr>
        <w:t>。</w:t>
      </w:r>
    </w:p>
    <w:p>
      <w:pPr>
        <w:spacing w:after="0" w:line="560" w:lineRule="exact"/>
        <w:ind w:firstLine="640" w:firstLineChars="200"/>
        <w:jc w:val="both"/>
        <w:rPr>
          <w:rFonts w:eastAsia="仿宋_GB2312"/>
          <w:sz w:val="32"/>
          <w:szCs w:val="32"/>
        </w:rPr>
      </w:pPr>
      <w:r>
        <w:rPr>
          <w:rFonts w:hint="eastAsia" w:eastAsia="仿宋_GB2312"/>
          <w:sz w:val="32"/>
          <w:szCs w:val="32"/>
        </w:rPr>
        <w:t>3</w:t>
      </w:r>
      <w:r>
        <w:rPr>
          <w:rFonts w:eastAsia="仿宋_GB2312"/>
          <w:sz w:val="32"/>
          <w:szCs w:val="32"/>
        </w:rPr>
        <w:t>. 年度排放量及活动水平波动的原因说明</w:t>
      </w:r>
    </w:p>
    <w:p>
      <w:pPr>
        <w:spacing w:after="0" w:line="560" w:lineRule="exact"/>
        <w:ind w:firstLine="640" w:firstLineChars="200"/>
        <w:jc w:val="both"/>
        <w:rPr>
          <w:rFonts w:eastAsia="仿宋_GB2312"/>
          <w:sz w:val="32"/>
          <w:szCs w:val="32"/>
        </w:rPr>
      </w:pPr>
      <w:r>
        <w:rPr>
          <w:rFonts w:hint="eastAsia" w:eastAsia="仿宋_GB2312"/>
          <w:sz w:val="32"/>
          <w:szCs w:val="32"/>
        </w:rPr>
        <w:t>本年度</w:t>
      </w:r>
      <w:r>
        <w:rPr>
          <w:rFonts w:eastAsia="仿宋_GB2312"/>
          <w:sz w:val="32"/>
          <w:szCs w:val="32"/>
        </w:rPr>
        <w:t>排放量与上一年度排放量相比</w:t>
      </w:r>
      <w:r>
        <w:rPr>
          <w:rFonts w:hint="eastAsia" w:eastAsia="仿宋_GB2312"/>
          <w:sz w:val="32"/>
          <w:szCs w:val="32"/>
        </w:rPr>
        <w:t>增加</w:t>
      </w:r>
      <w:r>
        <w:rPr>
          <w:rFonts w:eastAsia="仿宋_GB2312"/>
          <w:sz w:val="32"/>
          <w:szCs w:val="32"/>
        </w:rPr>
        <w:t>5003.4</w:t>
      </w:r>
      <w:r>
        <w:rPr>
          <w:rFonts w:hint="eastAsia" w:eastAsia="仿宋_GB2312"/>
          <w:sz w:val="32"/>
          <w:szCs w:val="32"/>
        </w:rPr>
        <w:t>5</w:t>
      </w:r>
      <w:r>
        <w:rPr>
          <w:rFonts w:eastAsia="仿宋_GB2312"/>
          <w:sz w:val="32"/>
          <w:szCs w:val="32"/>
        </w:rPr>
        <w:t>吨/48.80%，原因为排放单位相比基准年新增</w:t>
      </w:r>
      <w:r>
        <w:rPr>
          <w:rFonts w:hint="eastAsia" w:eastAsia="仿宋_GB2312"/>
          <w:sz w:val="32"/>
          <w:szCs w:val="32"/>
        </w:rPr>
        <w:t>2</w:t>
      </w:r>
      <w:r>
        <w:rPr>
          <w:rFonts w:eastAsia="仿宋_GB2312"/>
          <w:sz w:val="32"/>
          <w:szCs w:val="32"/>
        </w:rPr>
        <w:t>个支行及1处办公区，电力消费量大幅上涨</w:t>
      </w:r>
      <w:r>
        <w:rPr>
          <w:rFonts w:hint="eastAsia" w:eastAsia="仿宋_GB2312"/>
          <w:sz w:val="32"/>
          <w:szCs w:val="32"/>
        </w:rPr>
        <w:t>，导致排放量大幅上升。</w:t>
      </w:r>
    </w:p>
    <w:p>
      <w:pPr>
        <w:spacing w:after="0" w:line="560" w:lineRule="exact"/>
        <w:ind w:firstLine="640" w:firstLineChars="200"/>
        <w:jc w:val="both"/>
        <w:rPr>
          <w:rFonts w:eastAsia="仿宋_GB2312"/>
          <w:sz w:val="32"/>
          <w:szCs w:val="32"/>
        </w:rPr>
      </w:pPr>
      <w:r>
        <w:rPr>
          <w:rFonts w:eastAsia="仿宋_GB2312"/>
          <w:sz w:val="32"/>
          <w:szCs w:val="32"/>
        </w:rPr>
        <w:t>本年度排放量与历史基准年份相比排放量增加5003.4</w:t>
      </w:r>
      <w:r>
        <w:rPr>
          <w:rFonts w:hint="eastAsia" w:eastAsia="仿宋_GB2312"/>
          <w:sz w:val="32"/>
          <w:szCs w:val="32"/>
        </w:rPr>
        <w:t>5</w:t>
      </w:r>
      <w:r>
        <w:rPr>
          <w:rFonts w:eastAsia="仿宋_GB2312"/>
          <w:sz w:val="32"/>
          <w:szCs w:val="32"/>
        </w:rPr>
        <w:t>吨/48.80%，原因为排放单位相比基准年新增</w:t>
      </w:r>
      <w:r>
        <w:rPr>
          <w:rFonts w:hint="eastAsia" w:eastAsia="仿宋_GB2312"/>
          <w:sz w:val="32"/>
          <w:szCs w:val="32"/>
        </w:rPr>
        <w:t>2</w:t>
      </w:r>
      <w:r>
        <w:rPr>
          <w:rFonts w:eastAsia="仿宋_GB2312"/>
          <w:sz w:val="32"/>
          <w:szCs w:val="32"/>
        </w:rPr>
        <w:t>个支行及1处办公区，电力消费量大幅上涨。</w:t>
      </w:r>
    </w:p>
    <w:p>
      <w:pPr>
        <w:spacing w:after="0" w:line="560" w:lineRule="exact"/>
        <w:jc w:val="center"/>
        <w:rPr>
          <w:rFonts w:eastAsia="仿宋_GB2312"/>
          <w:sz w:val="32"/>
          <w:szCs w:val="32"/>
        </w:rPr>
      </w:pPr>
      <w:r>
        <w:rPr>
          <w:rFonts w:eastAsia="仿宋_GB2312"/>
          <w:sz w:val="24"/>
        </w:rPr>
        <w:t>表XX  排放量汇总表</w:t>
      </w:r>
    </w:p>
    <w:tbl>
      <w:tblPr>
        <w:tblStyle w:val="35"/>
        <w:tblW w:w="4999" w:type="pct"/>
        <w:tblInd w:w="0" w:type="dxa"/>
        <w:tblLayout w:type="autofit"/>
        <w:tblCellMar>
          <w:top w:w="0" w:type="dxa"/>
          <w:left w:w="108" w:type="dxa"/>
          <w:bottom w:w="0" w:type="dxa"/>
          <w:right w:w="108" w:type="dxa"/>
        </w:tblCellMar>
      </w:tblPr>
      <w:tblGrid>
        <w:gridCol w:w="1947"/>
        <w:gridCol w:w="1948"/>
        <w:gridCol w:w="2479"/>
        <w:gridCol w:w="2685"/>
      </w:tblGrid>
      <w:tr>
        <w:tblPrEx>
          <w:tblCellMar>
            <w:top w:w="0" w:type="dxa"/>
            <w:left w:w="108" w:type="dxa"/>
            <w:bottom w:w="0" w:type="dxa"/>
            <w:right w:w="108" w:type="dxa"/>
          </w:tblCellMar>
        </w:tblPrEx>
        <w:trPr>
          <w:trHeight w:val="1028" w:hRule="atLeast"/>
        </w:trPr>
        <w:tc>
          <w:tcPr>
            <w:tcW w:w="1075"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年度</w:t>
            </w:r>
          </w:p>
        </w:tc>
        <w:tc>
          <w:tcPr>
            <w:tcW w:w="1075"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直接排放量（tCO</w:t>
            </w:r>
            <w:r>
              <w:rPr>
                <w:rFonts w:eastAsia="仿宋_GB2312"/>
                <w:color w:val="000000"/>
                <w:sz w:val="24"/>
                <w:vertAlign w:val="subscript"/>
              </w:rPr>
              <w:t>2</w:t>
            </w:r>
            <w:r>
              <w:rPr>
                <w:rFonts w:eastAsia="仿宋_GB2312"/>
                <w:color w:val="000000"/>
                <w:sz w:val="24"/>
              </w:rPr>
              <w:t>）</w:t>
            </w:r>
          </w:p>
        </w:tc>
        <w:tc>
          <w:tcPr>
            <w:tcW w:w="1368"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间接排放量（tCO</w:t>
            </w:r>
            <w:r>
              <w:rPr>
                <w:rFonts w:eastAsia="仿宋_GB2312"/>
                <w:color w:val="000000"/>
                <w:sz w:val="24"/>
                <w:vertAlign w:val="subscript"/>
              </w:rPr>
              <w:t>2</w:t>
            </w:r>
            <w:r>
              <w:rPr>
                <w:rFonts w:eastAsia="仿宋_GB2312"/>
                <w:color w:val="000000"/>
                <w:sz w:val="24"/>
              </w:rPr>
              <w:t>）</w:t>
            </w:r>
          </w:p>
        </w:tc>
        <w:tc>
          <w:tcPr>
            <w:tcW w:w="148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排放总量（tCO</w:t>
            </w:r>
            <w:r>
              <w:rPr>
                <w:rFonts w:eastAsia="仿宋_GB2312"/>
                <w:color w:val="000000"/>
                <w:sz w:val="24"/>
                <w:vertAlign w:val="subscript"/>
              </w:rPr>
              <w:t>2</w:t>
            </w:r>
            <w:r>
              <w:rPr>
                <w:rFonts w:eastAsia="仿宋_GB2312"/>
                <w:color w:val="000000"/>
                <w:sz w:val="24"/>
              </w:rPr>
              <w:t>）</w:t>
            </w:r>
          </w:p>
        </w:tc>
      </w:tr>
      <w:tr>
        <w:tblPrEx>
          <w:tblCellMar>
            <w:top w:w="0" w:type="dxa"/>
            <w:left w:w="108" w:type="dxa"/>
            <w:bottom w:w="0" w:type="dxa"/>
            <w:right w:w="108" w:type="dxa"/>
          </w:tblCellMar>
        </w:tblPrEx>
        <w:trPr>
          <w:trHeight w:val="547" w:hRule="atLeast"/>
        </w:trPr>
        <w:tc>
          <w:tcPr>
            <w:tcW w:w="107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2016</w:t>
            </w:r>
          </w:p>
        </w:tc>
        <w:tc>
          <w:tcPr>
            <w:tcW w:w="1075"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0</w:t>
            </w:r>
          </w:p>
        </w:tc>
        <w:tc>
          <w:tcPr>
            <w:tcW w:w="136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8248.15</w:t>
            </w:r>
          </w:p>
        </w:tc>
        <w:tc>
          <w:tcPr>
            <w:tcW w:w="148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8248.15</w:t>
            </w:r>
          </w:p>
        </w:tc>
      </w:tr>
      <w:tr>
        <w:tblPrEx>
          <w:tblCellMar>
            <w:top w:w="0" w:type="dxa"/>
            <w:left w:w="108" w:type="dxa"/>
            <w:bottom w:w="0" w:type="dxa"/>
            <w:right w:w="108" w:type="dxa"/>
          </w:tblCellMar>
        </w:tblPrEx>
        <w:trPr>
          <w:trHeight w:val="347" w:hRule="atLeast"/>
        </w:trPr>
        <w:tc>
          <w:tcPr>
            <w:tcW w:w="107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2017</w:t>
            </w:r>
          </w:p>
        </w:tc>
        <w:tc>
          <w:tcPr>
            <w:tcW w:w="1075"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0</w:t>
            </w:r>
          </w:p>
        </w:tc>
        <w:tc>
          <w:tcPr>
            <w:tcW w:w="1368"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8683.15</w:t>
            </w:r>
          </w:p>
        </w:tc>
        <w:tc>
          <w:tcPr>
            <w:tcW w:w="1482"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8683.15</w:t>
            </w:r>
          </w:p>
        </w:tc>
      </w:tr>
      <w:tr>
        <w:tblPrEx>
          <w:tblCellMar>
            <w:top w:w="0" w:type="dxa"/>
            <w:left w:w="108" w:type="dxa"/>
            <w:bottom w:w="0" w:type="dxa"/>
            <w:right w:w="108" w:type="dxa"/>
          </w:tblCellMar>
        </w:tblPrEx>
        <w:trPr>
          <w:trHeight w:val="347" w:hRule="atLeast"/>
        </w:trPr>
        <w:tc>
          <w:tcPr>
            <w:tcW w:w="1075"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2018</w:t>
            </w:r>
          </w:p>
        </w:tc>
        <w:tc>
          <w:tcPr>
            <w:tcW w:w="1075"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0</w:t>
            </w:r>
          </w:p>
        </w:tc>
        <w:tc>
          <w:tcPr>
            <w:tcW w:w="1368"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10252.96</w:t>
            </w:r>
          </w:p>
        </w:tc>
        <w:tc>
          <w:tcPr>
            <w:tcW w:w="148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10252.96</w:t>
            </w:r>
          </w:p>
        </w:tc>
      </w:tr>
      <w:tr>
        <w:tblPrEx>
          <w:tblCellMar>
            <w:top w:w="0" w:type="dxa"/>
            <w:left w:w="108" w:type="dxa"/>
            <w:bottom w:w="0" w:type="dxa"/>
            <w:right w:w="108" w:type="dxa"/>
          </w:tblCellMar>
        </w:tblPrEx>
        <w:trPr>
          <w:trHeight w:val="347" w:hRule="atLeast"/>
        </w:trPr>
        <w:tc>
          <w:tcPr>
            <w:tcW w:w="1075"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eastAsia="仿宋_GB2312"/>
                <w:color w:val="000000"/>
                <w:sz w:val="24"/>
              </w:rPr>
              <w:t>2019</w:t>
            </w:r>
          </w:p>
        </w:tc>
        <w:tc>
          <w:tcPr>
            <w:tcW w:w="1075"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0</w:t>
            </w:r>
          </w:p>
        </w:tc>
        <w:tc>
          <w:tcPr>
            <w:tcW w:w="1368"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bookmarkStart w:id="24" w:name="_Hlk34841875"/>
            <w:r>
              <w:rPr>
                <w:rFonts w:eastAsia="仿宋_GB2312" w:cs="Calibri"/>
                <w:color w:val="000000"/>
                <w:sz w:val="24"/>
              </w:rPr>
              <w:t>15256.41</w:t>
            </w:r>
            <w:bookmarkEnd w:id="24"/>
          </w:p>
        </w:tc>
        <w:tc>
          <w:tcPr>
            <w:tcW w:w="148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15256.41</w:t>
            </w:r>
          </w:p>
        </w:tc>
      </w:tr>
      <w:tr>
        <w:tblPrEx>
          <w:tblCellMar>
            <w:top w:w="0" w:type="dxa"/>
            <w:left w:w="108" w:type="dxa"/>
            <w:bottom w:w="0" w:type="dxa"/>
            <w:right w:w="108" w:type="dxa"/>
          </w:tblCellMar>
        </w:tblPrEx>
        <w:trPr>
          <w:trHeight w:val="347" w:hRule="atLeast"/>
        </w:trPr>
        <w:tc>
          <w:tcPr>
            <w:tcW w:w="1075"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olor w:val="000000"/>
                <w:sz w:val="24"/>
              </w:rPr>
            </w:pPr>
            <w:r>
              <w:rPr>
                <w:rFonts w:hint="eastAsia" w:eastAsia="仿宋_GB2312"/>
                <w:color w:val="000000"/>
                <w:sz w:val="24"/>
              </w:rPr>
              <w:t>2</w:t>
            </w:r>
            <w:r>
              <w:rPr>
                <w:rFonts w:eastAsia="仿宋_GB2312"/>
                <w:color w:val="000000"/>
                <w:sz w:val="24"/>
              </w:rPr>
              <w:t>020</w:t>
            </w:r>
          </w:p>
        </w:tc>
        <w:tc>
          <w:tcPr>
            <w:tcW w:w="1075"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0</w:t>
            </w:r>
          </w:p>
        </w:tc>
        <w:tc>
          <w:tcPr>
            <w:tcW w:w="1368"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15256.41</w:t>
            </w:r>
          </w:p>
        </w:tc>
        <w:tc>
          <w:tcPr>
            <w:tcW w:w="1482"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eastAsia="仿宋_GB2312" w:cs="Calibri"/>
                <w:color w:val="000000"/>
                <w:sz w:val="24"/>
              </w:rPr>
            </w:pPr>
            <w:r>
              <w:rPr>
                <w:rFonts w:eastAsia="仿宋_GB2312" w:cs="Calibri"/>
                <w:color w:val="000000"/>
                <w:sz w:val="24"/>
              </w:rPr>
              <w:t>15256.41</w:t>
            </w:r>
          </w:p>
        </w:tc>
      </w:tr>
    </w:tbl>
    <w:p>
      <w:pPr>
        <w:jc w:val="center"/>
      </w:pPr>
      <w:r>
        <w:rPr>
          <w:lang w:val="en-US"/>
        </w:rPr>
        <w:drawing>
          <wp:inline distT="0" distB="0" distL="0" distR="0">
            <wp:extent cx="4568825" cy="2740025"/>
            <wp:effectExtent l="0" t="0" r="3175" b="3175"/>
            <wp:docPr id="3"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pPr>
        <w:spacing w:after="0" w:line="560" w:lineRule="exact"/>
        <w:jc w:val="center"/>
        <w:rPr>
          <w:rFonts w:eastAsia="仿宋_GB2312"/>
          <w:sz w:val="32"/>
          <w:szCs w:val="32"/>
        </w:rPr>
      </w:pPr>
      <w:r>
        <w:rPr>
          <w:rFonts w:hint="eastAsia" w:eastAsia="仿宋_GB2312"/>
          <w:sz w:val="24"/>
        </w:rPr>
        <w:t>图</w:t>
      </w:r>
      <w:r>
        <w:rPr>
          <w:rFonts w:eastAsia="仿宋_GB2312"/>
          <w:sz w:val="24"/>
        </w:rPr>
        <w:t>XX  排放量</w:t>
      </w:r>
      <w:r>
        <w:rPr>
          <w:rFonts w:hint="eastAsia" w:eastAsia="仿宋_GB2312"/>
          <w:sz w:val="24"/>
        </w:rPr>
        <w:t>变化趋势图（增加2</w:t>
      </w:r>
      <w:r>
        <w:rPr>
          <w:rFonts w:eastAsia="仿宋_GB2312"/>
          <w:sz w:val="24"/>
        </w:rPr>
        <w:t>020年度）</w:t>
      </w:r>
    </w:p>
    <w:p>
      <w:pPr>
        <w:spacing w:after="0" w:line="560" w:lineRule="exact"/>
        <w:ind w:firstLine="640" w:firstLineChars="200"/>
        <w:rPr>
          <w:rFonts w:eastAsia="仿宋_GB2312"/>
          <w:sz w:val="32"/>
          <w:szCs w:val="32"/>
        </w:rPr>
      </w:pPr>
      <w:r>
        <w:rPr>
          <w:rFonts w:hint="eastAsia" w:eastAsia="仿宋_GB2312"/>
          <w:sz w:val="32"/>
          <w:szCs w:val="32"/>
        </w:rPr>
        <w:t>4. 核算和报告边界变化</w:t>
      </w:r>
      <w:r>
        <w:rPr>
          <w:rFonts w:hint="eastAsia" w:ascii="Times New Roman" w:hAnsi="Times New Roman" w:eastAsia="仿宋_GB2312"/>
          <w:sz w:val="32"/>
          <w:szCs w:val="32"/>
        </w:rPr>
        <w:t>（含设施变化）</w:t>
      </w:r>
      <w:r>
        <w:rPr>
          <w:rFonts w:hint="eastAsia" w:eastAsia="仿宋_GB2312"/>
          <w:sz w:val="32"/>
          <w:szCs w:val="32"/>
        </w:rPr>
        <w:t>情况</w:t>
      </w:r>
    </w:p>
    <w:p>
      <w:pPr>
        <w:spacing w:after="0" w:line="560" w:lineRule="exact"/>
        <w:ind w:firstLine="640" w:firstLineChars="200"/>
        <w:rPr>
          <w:rFonts w:eastAsia="仿宋_GB2312"/>
          <w:sz w:val="32"/>
          <w:szCs w:val="32"/>
        </w:rPr>
      </w:pPr>
      <w:r>
        <w:rPr>
          <w:rFonts w:hint="eastAsia" w:eastAsia="仿宋_GB2312"/>
          <w:sz w:val="32"/>
          <w:szCs w:val="32"/>
        </w:rPr>
        <w:t>4.1 本年度场所边界的变化</w:t>
      </w:r>
    </w:p>
    <w:p>
      <w:pPr>
        <w:spacing w:after="0" w:line="560" w:lineRule="exact"/>
        <w:ind w:firstLine="640" w:firstLineChars="200"/>
        <w:jc w:val="both"/>
        <w:rPr>
          <w:rFonts w:eastAsia="仿宋_GB2312"/>
          <w:sz w:val="32"/>
          <w:szCs w:val="32"/>
        </w:rPr>
      </w:pPr>
      <w:r>
        <w:rPr>
          <w:rFonts w:eastAsia="仿宋_GB2312"/>
          <w:sz w:val="32"/>
          <w:szCs w:val="32"/>
        </w:rPr>
        <w:t>排放单位核算和报告边界为北京市辖区内经营</w:t>
      </w:r>
      <w:r>
        <w:rPr>
          <w:rFonts w:hint="eastAsia" w:eastAsia="仿宋_GB2312"/>
          <w:sz w:val="32"/>
          <w:szCs w:val="32"/>
        </w:rPr>
        <w:t>的</w:t>
      </w:r>
      <w:r>
        <w:rPr>
          <w:rFonts w:eastAsia="仿宋_GB2312"/>
          <w:sz w:val="32"/>
          <w:szCs w:val="32"/>
        </w:rPr>
        <w:t>办公网点</w:t>
      </w:r>
      <w:r>
        <w:rPr>
          <w:rFonts w:hint="eastAsia" w:eastAsia="仿宋_GB2312"/>
          <w:sz w:val="32"/>
          <w:szCs w:val="32"/>
        </w:rPr>
        <w:t>，包括</w:t>
      </w:r>
      <w:r>
        <w:rPr>
          <w:rFonts w:eastAsia="仿宋_GB2312"/>
          <w:sz w:val="32"/>
          <w:szCs w:val="32"/>
        </w:rPr>
        <w:t>xxx</w:t>
      </w:r>
      <w:r>
        <w:rPr>
          <w:rFonts w:hint="eastAsia" w:eastAsia="仿宋_GB2312"/>
          <w:sz w:val="32"/>
          <w:szCs w:val="32"/>
        </w:rPr>
        <w:t>个支行及位于xx的办公大楼，建筑面积共计xxx平方米，还包括xx个大型数据中心，xx个中小型数据中心。与上年度相比，增加xx个支行及位于xxx的办公区域；与历史基准年相比，增加xx个支行及位于xxx的办公区域。</w:t>
      </w:r>
    </w:p>
    <w:p>
      <w:pPr>
        <w:spacing w:after="0" w:line="560" w:lineRule="exact"/>
        <w:ind w:left="440" w:leftChars="200"/>
        <w:jc w:val="both"/>
        <w:rPr>
          <w:rFonts w:eastAsia="仿宋_GB2312"/>
          <w:sz w:val="32"/>
          <w:szCs w:val="32"/>
        </w:rPr>
      </w:pPr>
      <w:r>
        <w:rPr>
          <w:rFonts w:hint="eastAsia" w:eastAsia="仿宋_GB2312"/>
          <w:sz w:val="32"/>
          <w:szCs w:val="32"/>
        </w:rPr>
        <w:t>4.2</w:t>
      </w:r>
      <w:r>
        <w:rPr>
          <w:rFonts w:eastAsia="仿宋_GB2312"/>
          <w:sz w:val="32"/>
          <w:szCs w:val="32"/>
        </w:rPr>
        <w:t>本年度排放设施的变化</w:t>
      </w:r>
    </w:p>
    <w:p>
      <w:pPr>
        <w:spacing w:after="0" w:line="560" w:lineRule="exact"/>
        <w:ind w:firstLine="465"/>
        <w:jc w:val="both"/>
        <w:rPr>
          <w:rFonts w:eastAsia="仿宋_GB2312"/>
          <w:sz w:val="32"/>
          <w:szCs w:val="32"/>
        </w:rPr>
      </w:pPr>
      <w:r>
        <w:rPr>
          <w:rFonts w:eastAsia="仿宋_GB2312"/>
          <w:sz w:val="32"/>
          <w:szCs w:val="32"/>
        </w:rPr>
        <w:t>排放单位2018年存在</w:t>
      </w:r>
      <w:r>
        <w:rPr>
          <w:rFonts w:hint="eastAsia" w:eastAsia="仿宋_GB2312"/>
          <w:sz w:val="32"/>
          <w:szCs w:val="32"/>
        </w:rPr>
        <w:t>x</w:t>
      </w:r>
      <w:r>
        <w:rPr>
          <w:rFonts w:eastAsia="仿宋_GB2312"/>
          <w:sz w:val="32"/>
          <w:szCs w:val="32"/>
        </w:rPr>
        <w:t>xx支行、</w:t>
      </w:r>
      <w:r>
        <w:rPr>
          <w:rFonts w:hint="eastAsia" w:eastAsia="仿宋_GB2312"/>
          <w:sz w:val="32"/>
          <w:szCs w:val="32"/>
        </w:rPr>
        <w:t>x</w:t>
      </w:r>
      <w:r>
        <w:rPr>
          <w:rFonts w:eastAsia="仿宋_GB2312"/>
          <w:sz w:val="32"/>
          <w:szCs w:val="32"/>
        </w:rPr>
        <w:t>xx支行、</w:t>
      </w:r>
      <w:r>
        <w:rPr>
          <w:rFonts w:hint="eastAsia" w:eastAsia="仿宋_GB2312"/>
          <w:sz w:val="32"/>
          <w:szCs w:val="32"/>
        </w:rPr>
        <w:t>x</w:t>
      </w:r>
      <w:r>
        <w:rPr>
          <w:rFonts w:eastAsia="仿宋_GB2312"/>
          <w:sz w:val="32"/>
          <w:szCs w:val="32"/>
        </w:rPr>
        <w:t>xx支行3个支行截至2018年底运行时间均不足12个月，符合调整既有设施排放配额的申请条件，此信息供既有设施调整配额参考。</w:t>
      </w:r>
    </w:p>
    <w:p>
      <w:pPr>
        <w:spacing w:after="0" w:line="560" w:lineRule="exact"/>
        <w:ind w:firstLine="465"/>
        <w:jc w:val="both"/>
        <w:rPr>
          <w:rFonts w:eastAsia="仿宋_GB2312"/>
          <w:sz w:val="32"/>
          <w:szCs w:val="32"/>
        </w:rPr>
      </w:pPr>
      <w:r>
        <w:rPr>
          <w:rFonts w:eastAsia="仿宋_GB2312"/>
          <w:sz w:val="32"/>
          <w:szCs w:val="32"/>
        </w:rPr>
        <w:t>本年度既有设施退出数量为1个，xxxx支行于2017年4月5日停止营业。</w:t>
      </w:r>
    </w:p>
    <w:p>
      <w:pPr>
        <w:spacing w:after="0" w:line="560" w:lineRule="exact"/>
        <w:jc w:val="center"/>
        <w:rPr>
          <w:rFonts w:eastAsia="仿宋_GB2312"/>
          <w:sz w:val="24"/>
        </w:rPr>
      </w:pPr>
      <w:r>
        <w:rPr>
          <w:rFonts w:eastAsia="仿宋_GB2312"/>
          <w:sz w:val="24"/>
        </w:rPr>
        <w:t>表XX  既有设施退出信息表</w:t>
      </w:r>
    </w:p>
    <w:tbl>
      <w:tblPr>
        <w:tblStyle w:val="3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73"/>
        <w:gridCol w:w="1112"/>
        <w:gridCol w:w="709"/>
        <w:gridCol w:w="943"/>
        <w:gridCol w:w="1100"/>
        <w:gridCol w:w="1143"/>
        <w:gridCol w:w="1143"/>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456" w:type="dxa"/>
            <w:vMerge w:val="restart"/>
            <w:vAlign w:val="center"/>
          </w:tcPr>
          <w:p>
            <w:pPr>
              <w:jc w:val="center"/>
              <w:rPr>
                <w:rFonts w:eastAsia="仿宋_GB2312"/>
                <w:sz w:val="24"/>
              </w:rPr>
            </w:pPr>
            <w:r>
              <w:rPr>
                <w:rFonts w:eastAsia="仿宋_GB2312"/>
                <w:sz w:val="24"/>
              </w:rPr>
              <w:t>序号</w:t>
            </w:r>
          </w:p>
        </w:tc>
        <w:tc>
          <w:tcPr>
            <w:tcW w:w="773" w:type="dxa"/>
            <w:vMerge w:val="restart"/>
            <w:vAlign w:val="center"/>
          </w:tcPr>
          <w:p>
            <w:pPr>
              <w:jc w:val="center"/>
              <w:rPr>
                <w:rFonts w:eastAsia="仿宋_GB2312"/>
                <w:sz w:val="24"/>
              </w:rPr>
            </w:pPr>
            <w:r>
              <w:rPr>
                <w:rFonts w:eastAsia="仿宋_GB2312"/>
                <w:sz w:val="24"/>
              </w:rPr>
              <w:t>既有设施名称</w:t>
            </w:r>
          </w:p>
        </w:tc>
        <w:tc>
          <w:tcPr>
            <w:tcW w:w="1112" w:type="dxa"/>
            <w:vMerge w:val="restart"/>
            <w:vAlign w:val="center"/>
          </w:tcPr>
          <w:p>
            <w:pPr>
              <w:jc w:val="center"/>
              <w:rPr>
                <w:rFonts w:eastAsia="仿宋_GB2312"/>
                <w:sz w:val="24"/>
              </w:rPr>
            </w:pPr>
            <w:r>
              <w:rPr>
                <w:rFonts w:eastAsia="仿宋_GB2312"/>
                <w:sz w:val="24"/>
              </w:rPr>
              <w:t>既有设施对应其它生产信息（如适用）</w:t>
            </w:r>
          </w:p>
        </w:tc>
        <w:tc>
          <w:tcPr>
            <w:tcW w:w="709" w:type="dxa"/>
            <w:vMerge w:val="restart"/>
            <w:vAlign w:val="center"/>
          </w:tcPr>
          <w:p>
            <w:pPr>
              <w:jc w:val="center"/>
              <w:rPr>
                <w:rFonts w:eastAsia="仿宋_GB2312"/>
                <w:sz w:val="24"/>
              </w:rPr>
            </w:pPr>
            <w:r>
              <w:rPr>
                <w:rFonts w:eastAsia="仿宋_GB2312"/>
                <w:sz w:val="24"/>
              </w:rPr>
              <w:t>退出时间</w:t>
            </w:r>
          </w:p>
        </w:tc>
        <w:tc>
          <w:tcPr>
            <w:tcW w:w="943" w:type="dxa"/>
            <w:vMerge w:val="restart"/>
            <w:vAlign w:val="center"/>
          </w:tcPr>
          <w:p>
            <w:pPr>
              <w:jc w:val="center"/>
              <w:rPr>
                <w:rFonts w:eastAsia="仿宋_GB2312"/>
                <w:sz w:val="24"/>
              </w:rPr>
            </w:pPr>
            <w:r>
              <w:rPr>
                <w:rFonts w:eastAsia="仿宋_GB2312"/>
                <w:sz w:val="24"/>
              </w:rPr>
              <w:t>是否由新增设施替代</w:t>
            </w:r>
          </w:p>
        </w:tc>
        <w:tc>
          <w:tcPr>
            <w:tcW w:w="1100" w:type="dxa"/>
            <w:vMerge w:val="restart"/>
            <w:tcBorders>
              <w:right w:val="single" w:color="auto" w:sz="4" w:space="0"/>
            </w:tcBorders>
            <w:vAlign w:val="center"/>
          </w:tcPr>
          <w:p>
            <w:pPr>
              <w:jc w:val="center"/>
              <w:rPr>
                <w:rFonts w:eastAsia="仿宋_GB2312"/>
                <w:sz w:val="24"/>
              </w:rPr>
            </w:pPr>
            <w:r>
              <w:rPr>
                <w:rFonts w:eastAsia="仿宋_GB2312"/>
                <w:sz w:val="24"/>
              </w:rPr>
              <w:t>年度</w:t>
            </w:r>
          </w:p>
        </w:tc>
        <w:tc>
          <w:tcPr>
            <w:tcW w:w="3429" w:type="dxa"/>
            <w:gridSpan w:val="3"/>
            <w:tcBorders>
              <w:left w:val="single" w:color="auto" w:sz="4" w:space="0"/>
            </w:tcBorders>
            <w:vAlign w:val="center"/>
          </w:tcPr>
          <w:p>
            <w:pPr>
              <w:jc w:val="center"/>
              <w:rPr>
                <w:rFonts w:eastAsia="仿宋_GB2312"/>
                <w:sz w:val="24"/>
              </w:rPr>
            </w:pPr>
            <w:r>
              <w:rPr>
                <w:rFonts w:eastAsia="仿宋_GB2312"/>
                <w:sz w:val="24"/>
              </w:rPr>
              <w:t>历史年度排放量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56" w:type="dxa"/>
            <w:vMerge w:val="continue"/>
            <w:vAlign w:val="center"/>
          </w:tcPr>
          <w:p>
            <w:pPr>
              <w:jc w:val="center"/>
              <w:rPr>
                <w:rFonts w:eastAsia="仿宋_GB2312"/>
                <w:sz w:val="24"/>
              </w:rPr>
            </w:pPr>
          </w:p>
        </w:tc>
        <w:tc>
          <w:tcPr>
            <w:tcW w:w="773" w:type="dxa"/>
            <w:vMerge w:val="continue"/>
            <w:vAlign w:val="center"/>
          </w:tcPr>
          <w:p>
            <w:pPr>
              <w:jc w:val="center"/>
              <w:rPr>
                <w:rFonts w:eastAsia="仿宋_GB2312"/>
                <w:sz w:val="24"/>
              </w:rPr>
            </w:pPr>
          </w:p>
        </w:tc>
        <w:tc>
          <w:tcPr>
            <w:tcW w:w="1112" w:type="dxa"/>
            <w:vMerge w:val="continue"/>
            <w:vAlign w:val="center"/>
          </w:tcPr>
          <w:p>
            <w:pPr>
              <w:jc w:val="center"/>
              <w:rPr>
                <w:rFonts w:eastAsia="仿宋_GB2312"/>
                <w:sz w:val="24"/>
              </w:rPr>
            </w:pPr>
          </w:p>
        </w:tc>
        <w:tc>
          <w:tcPr>
            <w:tcW w:w="709" w:type="dxa"/>
            <w:vMerge w:val="continue"/>
            <w:vAlign w:val="center"/>
          </w:tcPr>
          <w:p>
            <w:pPr>
              <w:jc w:val="center"/>
              <w:rPr>
                <w:rFonts w:eastAsia="仿宋_GB2312"/>
                <w:sz w:val="24"/>
              </w:rPr>
            </w:pPr>
          </w:p>
        </w:tc>
        <w:tc>
          <w:tcPr>
            <w:tcW w:w="943" w:type="dxa"/>
            <w:vMerge w:val="continue"/>
            <w:vAlign w:val="center"/>
          </w:tcPr>
          <w:p>
            <w:pPr>
              <w:jc w:val="center"/>
              <w:rPr>
                <w:rFonts w:eastAsia="仿宋_GB2312"/>
                <w:sz w:val="24"/>
              </w:rPr>
            </w:pPr>
          </w:p>
        </w:tc>
        <w:tc>
          <w:tcPr>
            <w:tcW w:w="1100" w:type="dxa"/>
            <w:vMerge w:val="continue"/>
            <w:tcBorders>
              <w:right w:val="single" w:color="auto" w:sz="4" w:space="0"/>
            </w:tcBorders>
            <w:vAlign w:val="center"/>
          </w:tcPr>
          <w:p>
            <w:pPr>
              <w:jc w:val="center"/>
              <w:rPr>
                <w:rFonts w:eastAsia="仿宋_GB2312"/>
                <w:sz w:val="24"/>
              </w:rPr>
            </w:pPr>
          </w:p>
        </w:tc>
        <w:tc>
          <w:tcPr>
            <w:tcW w:w="1143" w:type="dxa"/>
            <w:tcBorders>
              <w:left w:val="single" w:color="auto" w:sz="4" w:space="0"/>
            </w:tcBorders>
            <w:vAlign w:val="center"/>
          </w:tcPr>
          <w:p>
            <w:pPr>
              <w:jc w:val="center"/>
              <w:rPr>
                <w:rFonts w:eastAsia="仿宋_GB2312"/>
                <w:sz w:val="24"/>
              </w:rPr>
            </w:pPr>
            <w:r>
              <w:rPr>
                <w:rFonts w:eastAsia="仿宋_GB2312"/>
                <w:sz w:val="24"/>
              </w:rPr>
              <w:t>直接排放量</w:t>
            </w:r>
          </w:p>
          <w:p>
            <w:pPr>
              <w:jc w:val="center"/>
              <w:rPr>
                <w:rFonts w:eastAsia="仿宋_GB2312"/>
                <w:sz w:val="24"/>
              </w:rPr>
            </w:pPr>
            <w:r>
              <w:rPr>
                <w:rFonts w:eastAsia="仿宋_GB2312"/>
                <w:sz w:val="24"/>
              </w:rPr>
              <w:t>（tCO</w:t>
            </w:r>
            <w:r>
              <w:rPr>
                <w:rFonts w:eastAsia="仿宋_GB2312"/>
                <w:sz w:val="24"/>
                <w:vertAlign w:val="subscript"/>
              </w:rPr>
              <w:t>2</w:t>
            </w:r>
            <w:r>
              <w:rPr>
                <w:rFonts w:eastAsia="仿宋_GB2312"/>
                <w:sz w:val="24"/>
              </w:rPr>
              <w:t>）</w:t>
            </w:r>
          </w:p>
        </w:tc>
        <w:tc>
          <w:tcPr>
            <w:tcW w:w="1143" w:type="dxa"/>
            <w:vAlign w:val="center"/>
          </w:tcPr>
          <w:p>
            <w:pPr>
              <w:jc w:val="center"/>
              <w:rPr>
                <w:rFonts w:eastAsia="仿宋_GB2312"/>
                <w:sz w:val="24"/>
              </w:rPr>
            </w:pPr>
            <w:r>
              <w:rPr>
                <w:rFonts w:eastAsia="仿宋_GB2312"/>
                <w:sz w:val="24"/>
              </w:rPr>
              <w:t>间接排放量（tCO</w:t>
            </w:r>
            <w:r>
              <w:rPr>
                <w:rFonts w:eastAsia="仿宋_GB2312"/>
                <w:sz w:val="24"/>
                <w:vertAlign w:val="subscript"/>
              </w:rPr>
              <w:t>2</w:t>
            </w:r>
            <w:r>
              <w:rPr>
                <w:rFonts w:eastAsia="仿宋_GB2312"/>
                <w:sz w:val="24"/>
              </w:rPr>
              <w:t>）</w:t>
            </w:r>
          </w:p>
        </w:tc>
        <w:tc>
          <w:tcPr>
            <w:tcW w:w="1143" w:type="dxa"/>
            <w:vAlign w:val="center"/>
          </w:tcPr>
          <w:p>
            <w:pPr>
              <w:jc w:val="center"/>
              <w:rPr>
                <w:rFonts w:eastAsia="仿宋_GB2312"/>
                <w:sz w:val="24"/>
              </w:rPr>
            </w:pPr>
            <w:r>
              <w:rPr>
                <w:rFonts w:eastAsia="仿宋_GB2312"/>
                <w:sz w:val="24"/>
              </w:rPr>
              <w:t>总排放量（tCO</w:t>
            </w:r>
            <w:r>
              <w:rPr>
                <w:rFonts w:eastAsia="仿宋_GB2312"/>
                <w:sz w:val="24"/>
                <w:vertAlign w:val="subscript"/>
              </w:rPr>
              <w:t>2</w:t>
            </w: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456" w:type="dxa"/>
            <w:vMerge w:val="restart"/>
            <w:vAlign w:val="center"/>
          </w:tcPr>
          <w:p>
            <w:pPr>
              <w:jc w:val="center"/>
              <w:rPr>
                <w:rFonts w:eastAsia="仿宋_GB2312"/>
                <w:sz w:val="24"/>
              </w:rPr>
            </w:pPr>
            <w:r>
              <w:rPr>
                <w:rFonts w:eastAsia="仿宋_GB2312"/>
                <w:sz w:val="24"/>
              </w:rPr>
              <w:t>1</w:t>
            </w:r>
          </w:p>
        </w:tc>
        <w:tc>
          <w:tcPr>
            <w:tcW w:w="773" w:type="dxa"/>
            <w:vMerge w:val="restart"/>
            <w:vAlign w:val="center"/>
          </w:tcPr>
          <w:p>
            <w:pPr>
              <w:jc w:val="center"/>
              <w:rPr>
                <w:rFonts w:eastAsia="仿宋_GB2312"/>
                <w:sz w:val="24"/>
              </w:rPr>
            </w:pPr>
            <w:r>
              <w:rPr>
                <w:rFonts w:eastAsia="仿宋_GB2312"/>
                <w:sz w:val="24"/>
              </w:rPr>
              <w:t>xxx支行</w:t>
            </w:r>
          </w:p>
        </w:tc>
        <w:tc>
          <w:tcPr>
            <w:tcW w:w="1112" w:type="dxa"/>
            <w:vMerge w:val="restart"/>
            <w:vAlign w:val="center"/>
          </w:tcPr>
          <w:p>
            <w:pPr>
              <w:jc w:val="center"/>
              <w:rPr>
                <w:rFonts w:eastAsia="仿宋_GB2312"/>
                <w:sz w:val="24"/>
              </w:rPr>
            </w:pPr>
            <w:r>
              <w:rPr>
                <w:rFonts w:eastAsia="仿宋_GB2312"/>
                <w:sz w:val="24"/>
              </w:rPr>
              <w:t>建筑面积：xxx平方米</w:t>
            </w:r>
          </w:p>
        </w:tc>
        <w:tc>
          <w:tcPr>
            <w:tcW w:w="709" w:type="dxa"/>
            <w:vMerge w:val="restart"/>
            <w:vAlign w:val="center"/>
          </w:tcPr>
          <w:p>
            <w:pPr>
              <w:jc w:val="center"/>
              <w:rPr>
                <w:rFonts w:eastAsia="仿宋_GB2312"/>
                <w:sz w:val="24"/>
              </w:rPr>
            </w:pPr>
            <w:r>
              <w:rPr>
                <w:rFonts w:eastAsia="仿宋_GB2312"/>
                <w:sz w:val="24"/>
              </w:rPr>
              <w:t>2017</w:t>
            </w:r>
          </w:p>
        </w:tc>
        <w:tc>
          <w:tcPr>
            <w:tcW w:w="943" w:type="dxa"/>
            <w:vMerge w:val="restart"/>
            <w:vAlign w:val="center"/>
          </w:tcPr>
          <w:p>
            <w:pPr>
              <w:jc w:val="center"/>
              <w:rPr>
                <w:rFonts w:eastAsia="仿宋_GB2312"/>
                <w:sz w:val="24"/>
              </w:rPr>
            </w:pPr>
            <w:r>
              <w:rPr>
                <w:rFonts w:eastAsia="仿宋_GB2312"/>
                <w:sz w:val="24"/>
              </w:rPr>
              <w:t>否</w:t>
            </w:r>
          </w:p>
        </w:tc>
        <w:tc>
          <w:tcPr>
            <w:tcW w:w="1100" w:type="dxa"/>
            <w:tcBorders>
              <w:right w:val="single" w:color="auto" w:sz="4" w:space="0"/>
            </w:tcBorders>
          </w:tcPr>
          <w:p>
            <w:pPr>
              <w:rPr>
                <w:rFonts w:eastAsia="仿宋_GB2312"/>
                <w:sz w:val="24"/>
              </w:rPr>
            </w:pPr>
            <w:r>
              <w:rPr>
                <w:rFonts w:eastAsia="仿宋_GB2312"/>
                <w:sz w:val="24"/>
              </w:rPr>
              <w:t>2016年</w:t>
            </w:r>
          </w:p>
        </w:tc>
        <w:tc>
          <w:tcPr>
            <w:tcW w:w="1143" w:type="dxa"/>
            <w:tcBorders>
              <w:left w:val="single" w:color="auto" w:sz="4" w:space="0"/>
            </w:tcBorders>
          </w:tcPr>
          <w:p>
            <w:pPr>
              <w:jc w:val="center"/>
              <w:rPr>
                <w:rFonts w:eastAsia="仿宋_GB2312"/>
                <w:sz w:val="24"/>
              </w:rPr>
            </w:pPr>
            <w:r>
              <w:rPr>
                <w:rFonts w:eastAsia="仿宋_GB2312"/>
                <w:sz w:val="24"/>
              </w:rPr>
              <w:t>0</w:t>
            </w:r>
          </w:p>
        </w:tc>
        <w:tc>
          <w:tcPr>
            <w:tcW w:w="1143" w:type="dxa"/>
            <w:vAlign w:val="bottom"/>
          </w:tcPr>
          <w:p>
            <w:pPr>
              <w:jc w:val="center"/>
              <w:rPr>
                <w:rFonts w:eastAsia="仿宋_GB2312"/>
                <w:sz w:val="24"/>
              </w:rPr>
            </w:pPr>
            <w:r>
              <w:rPr>
                <w:rFonts w:hint="eastAsia" w:eastAsia="仿宋_GB2312"/>
                <w:sz w:val="24"/>
              </w:rPr>
              <w:t>37.5</w:t>
            </w:r>
          </w:p>
        </w:tc>
        <w:tc>
          <w:tcPr>
            <w:tcW w:w="1143" w:type="dxa"/>
            <w:vAlign w:val="bottom"/>
          </w:tcPr>
          <w:p>
            <w:pPr>
              <w:jc w:val="center"/>
              <w:rPr>
                <w:rFonts w:eastAsia="仿宋_GB2312"/>
                <w:sz w:val="24"/>
              </w:rPr>
            </w:pPr>
            <w:r>
              <w:rPr>
                <w:rFonts w:hint="eastAsia" w:eastAsia="仿宋_GB2312"/>
                <w:sz w:val="24"/>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eastAsia="仿宋_GB2312"/>
                <w:sz w:val="24"/>
              </w:rPr>
            </w:pPr>
          </w:p>
        </w:tc>
        <w:tc>
          <w:tcPr>
            <w:tcW w:w="773" w:type="dxa"/>
            <w:vMerge w:val="continue"/>
          </w:tcPr>
          <w:p>
            <w:pPr>
              <w:rPr>
                <w:rFonts w:eastAsia="仿宋_GB2312"/>
                <w:sz w:val="24"/>
              </w:rPr>
            </w:pPr>
          </w:p>
        </w:tc>
        <w:tc>
          <w:tcPr>
            <w:tcW w:w="1112" w:type="dxa"/>
            <w:vMerge w:val="continue"/>
          </w:tcPr>
          <w:p>
            <w:pPr>
              <w:rPr>
                <w:rFonts w:eastAsia="仿宋_GB2312"/>
                <w:sz w:val="24"/>
              </w:rPr>
            </w:pPr>
          </w:p>
        </w:tc>
        <w:tc>
          <w:tcPr>
            <w:tcW w:w="709" w:type="dxa"/>
            <w:vMerge w:val="continue"/>
          </w:tcPr>
          <w:p>
            <w:pPr>
              <w:rPr>
                <w:rFonts w:eastAsia="仿宋_GB2312"/>
                <w:sz w:val="24"/>
              </w:rPr>
            </w:pPr>
          </w:p>
        </w:tc>
        <w:tc>
          <w:tcPr>
            <w:tcW w:w="943" w:type="dxa"/>
            <w:vMerge w:val="continue"/>
          </w:tcPr>
          <w:p>
            <w:pPr>
              <w:rPr>
                <w:rFonts w:eastAsia="仿宋_GB2312"/>
                <w:sz w:val="24"/>
              </w:rPr>
            </w:pPr>
          </w:p>
        </w:tc>
        <w:tc>
          <w:tcPr>
            <w:tcW w:w="1100" w:type="dxa"/>
            <w:tcBorders>
              <w:right w:val="single" w:color="auto" w:sz="4" w:space="0"/>
            </w:tcBorders>
          </w:tcPr>
          <w:p>
            <w:pPr>
              <w:rPr>
                <w:rFonts w:eastAsia="仿宋_GB2312"/>
                <w:sz w:val="24"/>
              </w:rPr>
            </w:pPr>
            <w:r>
              <w:rPr>
                <w:rFonts w:eastAsia="仿宋_GB2312"/>
                <w:sz w:val="24"/>
              </w:rPr>
              <w:t>2017年</w:t>
            </w:r>
          </w:p>
        </w:tc>
        <w:tc>
          <w:tcPr>
            <w:tcW w:w="1143" w:type="dxa"/>
            <w:tcBorders>
              <w:left w:val="single" w:color="auto" w:sz="4" w:space="0"/>
            </w:tcBorders>
          </w:tcPr>
          <w:p>
            <w:pPr>
              <w:jc w:val="center"/>
              <w:rPr>
                <w:rFonts w:eastAsia="仿宋_GB2312"/>
                <w:sz w:val="24"/>
              </w:rPr>
            </w:pPr>
            <w:r>
              <w:rPr>
                <w:rFonts w:eastAsia="仿宋_GB2312"/>
                <w:sz w:val="24"/>
              </w:rPr>
              <w:t>0</w:t>
            </w:r>
          </w:p>
        </w:tc>
        <w:tc>
          <w:tcPr>
            <w:tcW w:w="1143" w:type="dxa"/>
            <w:vAlign w:val="bottom"/>
          </w:tcPr>
          <w:p>
            <w:pPr>
              <w:jc w:val="center"/>
              <w:rPr>
                <w:rFonts w:eastAsia="仿宋_GB2312"/>
                <w:sz w:val="24"/>
              </w:rPr>
            </w:pPr>
            <w:r>
              <w:rPr>
                <w:rFonts w:hint="eastAsia" w:eastAsia="仿宋_GB2312"/>
                <w:sz w:val="24"/>
              </w:rPr>
              <w:t>22.32</w:t>
            </w:r>
          </w:p>
        </w:tc>
        <w:tc>
          <w:tcPr>
            <w:tcW w:w="1143" w:type="dxa"/>
            <w:vAlign w:val="bottom"/>
          </w:tcPr>
          <w:p>
            <w:pPr>
              <w:jc w:val="center"/>
              <w:rPr>
                <w:rFonts w:eastAsia="仿宋_GB2312"/>
                <w:sz w:val="24"/>
              </w:rPr>
            </w:pPr>
            <w:r>
              <w:rPr>
                <w:rFonts w:hint="eastAsia" w:eastAsia="仿宋_GB2312"/>
                <w:sz w:val="24"/>
              </w:rPr>
              <w:t>22.32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eastAsia="仿宋_GB2312"/>
                <w:sz w:val="24"/>
              </w:rPr>
            </w:pPr>
          </w:p>
        </w:tc>
        <w:tc>
          <w:tcPr>
            <w:tcW w:w="773" w:type="dxa"/>
            <w:vMerge w:val="continue"/>
          </w:tcPr>
          <w:p>
            <w:pPr>
              <w:rPr>
                <w:rFonts w:eastAsia="仿宋_GB2312"/>
                <w:sz w:val="24"/>
              </w:rPr>
            </w:pPr>
          </w:p>
        </w:tc>
        <w:tc>
          <w:tcPr>
            <w:tcW w:w="1112" w:type="dxa"/>
            <w:vMerge w:val="continue"/>
          </w:tcPr>
          <w:p>
            <w:pPr>
              <w:rPr>
                <w:rFonts w:eastAsia="仿宋_GB2312"/>
                <w:sz w:val="24"/>
              </w:rPr>
            </w:pPr>
          </w:p>
        </w:tc>
        <w:tc>
          <w:tcPr>
            <w:tcW w:w="709" w:type="dxa"/>
            <w:vMerge w:val="continue"/>
          </w:tcPr>
          <w:p>
            <w:pPr>
              <w:rPr>
                <w:rFonts w:eastAsia="仿宋_GB2312"/>
                <w:sz w:val="24"/>
              </w:rPr>
            </w:pPr>
          </w:p>
        </w:tc>
        <w:tc>
          <w:tcPr>
            <w:tcW w:w="943" w:type="dxa"/>
            <w:vMerge w:val="continue"/>
          </w:tcPr>
          <w:p>
            <w:pPr>
              <w:rPr>
                <w:rFonts w:eastAsia="仿宋_GB2312"/>
                <w:sz w:val="24"/>
              </w:rPr>
            </w:pPr>
          </w:p>
        </w:tc>
        <w:tc>
          <w:tcPr>
            <w:tcW w:w="1100" w:type="dxa"/>
            <w:tcBorders>
              <w:right w:val="single" w:color="auto" w:sz="4" w:space="0"/>
            </w:tcBorders>
          </w:tcPr>
          <w:p>
            <w:pPr>
              <w:rPr>
                <w:rFonts w:eastAsia="仿宋_GB2312"/>
                <w:sz w:val="24"/>
              </w:rPr>
            </w:pPr>
            <w:r>
              <w:rPr>
                <w:rFonts w:eastAsia="仿宋_GB2312"/>
                <w:sz w:val="24"/>
              </w:rPr>
              <w:t>2018年</w:t>
            </w:r>
          </w:p>
        </w:tc>
        <w:tc>
          <w:tcPr>
            <w:tcW w:w="1143" w:type="dxa"/>
            <w:tcBorders>
              <w:left w:val="single" w:color="auto" w:sz="4" w:space="0"/>
            </w:tcBorders>
            <w:vAlign w:val="center"/>
          </w:tcPr>
          <w:p>
            <w:pPr>
              <w:jc w:val="center"/>
              <w:rPr>
                <w:rFonts w:eastAsia="仿宋_GB2312"/>
                <w:sz w:val="24"/>
              </w:rPr>
            </w:pPr>
            <w:r>
              <w:rPr>
                <w:rFonts w:hint="eastAsia" w:eastAsia="仿宋_GB2312"/>
                <w:sz w:val="24"/>
              </w:rPr>
              <w:t>/</w:t>
            </w:r>
          </w:p>
        </w:tc>
        <w:tc>
          <w:tcPr>
            <w:tcW w:w="1143" w:type="dxa"/>
            <w:vAlign w:val="center"/>
          </w:tcPr>
          <w:p>
            <w:pPr>
              <w:jc w:val="center"/>
              <w:rPr>
                <w:rFonts w:eastAsia="仿宋_GB2312"/>
                <w:sz w:val="24"/>
              </w:rPr>
            </w:pPr>
            <w:r>
              <w:rPr>
                <w:rFonts w:hint="eastAsia" w:eastAsia="仿宋_GB2312"/>
                <w:sz w:val="24"/>
              </w:rPr>
              <w:t>/</w:t>
            </w:r>
          </w:p>
        </w:tc>
        <w:tc>
          <w:tcPr>
            <w:tcW w:w="1143" w:type="dxa"/>
            <w:vAlign w:val="center"/>
          </w:tcPr>
          <w:p>
            <w:pPr>
              <w:jc w:val="center"/>
              <w:rPr>
                <w:rFonts w:eastAsia="仿宋_GB2312"/>
                <w:sz w:val="24"/>
              </w:rPr>
            </w:pPr>
            <w:r>
              <w:rPr>
                <w:rFonts w:hint="eastAsia" w:eastAsia="仿宋_GB2312"/>
                <w:sz w:val="24"/>
              </w:rPr>
              <w:t>/</w:t>
            </w:r>
          </w:p>
        </w:tc>
      </w:tr>
    </w:tbl>
    <w:p>
      <w:pPr>
        <w:spacing w:after="0" w:line="560" w:lineRule="exact"/>
        <w:ind w:firstLine="465"/>
        <w:rPr>
          <w:rFonts w:eastAsia="仿宋_GB2312"/>
          <w:sz w:val="32"/>
          <w:szCs w:val="32"/>
        </w:rPr>
      </w:pPr>
      <w:r>
        <w:rPr>
          <w:rFonts w:eastAsia="仿宋_GB2312"/>
          <w:sz w:val="32"/>
          <w:szCs w:val="32"/>
        </w:rPr>
        <w:t>排放单位新增</w:t>
      </w:r>
      <w:r>
        <w:rPr>
          <w:rFonts w:hint="eastAsia" w:eastAsia="仿宋_GB2312"/>
          <w:sz w:val="32"/>
          <w:szCs w:val="32"/>
        </w:rPr>
        <w:t>2</w:t>
      </w:r>
      <w:r>
        <w:rPr>
          <w:rFonts w:eastAsia="仿宋_GB2312"/>
          <w:sz w:val="32"/>
          <w:szCs w:val="32"/>
        </w:rPr>
        <w:t>个支行及</w:t>
      </w:r>
      <w:r>
        <w:rPr>
          <w:rFonts w:hint="eastAsia" w:eastAsia="仿宋_GB2312"/>
          <w:sz w:val="32"/>
          <w:szCs w:val="32"/>
        </w:rPr>
        <w:t>1</w:t>
      </w:r>
      <w:r>
        <w:rPr>
          <w:rFonts w:eastAsia="仿宋_GB2312"/>
          <w:sz w:val="32"/>
          <w:szCs w:val="32"/>
        </w:rPr>
        <w:t>处办公区域，具体新增及其排放量见下表：</w:t>
      </w:r>
    </w:p>
    <w:p>
      <w:pPr>
        <w:spacing w:after="0" w:line="560" w:lineRule="exact"/>
        <w:jc w:val="center"/>
        <w:rPr>
          <w:rFonts w:eastAsia="仿宋_GB2312"/>
          <w:sz w:val="24"/>
        </w:rPr>
      </w:pPr>
    </w:p>
    <w:p>
      <w:pPr>
        <w:spacing w:after="0" w:line="560" w:lineRule="exact"/>
        <w:jc w:val="center"/>
        <w:rPr>
          <w:rFonts w:eastAsia="仿宋_GB2312"/>
          <w:sz w:val="32"/>
          <w:szCs w:val="32"/>
        </w:rPr>
      </w:pPr>
      <w:r>
        <w:rPr>
          <w:rFonts w:eastAsia="仿宋_GB2312"/>
          <w:sz w:val="24"/>
        </w:rPr>
        <w:t xml:space="preserve">表XX  </w:t>
      </w:r>
      <w:r>
        <w:rPr>
          <w:rFonts w:hint="eastAsia" w:eastAsia="仿宋_GB2312"/>
          <w:sz w:val="24"/>
        </w:rPr>
        <w:t>新增设施信息</w:t>
      </w:r>
      <w:r>
        <w:rPr>
          <w:rFonts w:eastAsia="仿宋_GB2312"/>
          <w:sz w:val="24"/>
        </w:rPr>
        <w:t>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072"/>
        <w:gridCol w:w="3362"/>
        <w:gridCol w:w="1366"/>
        <w:gridCol w:w="1186"/>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6" w:type="pct"/>
            <w:vAlign w:val="center"/>
          </w:tcPr>
          <w:p>
            <w:pPr>
              <w:tabs>
                <w:tab w:val="left" w:pos="1701"/>
              </w:tabs>
              <w:jc w:val="center"/>
              <w:rPr>
                <w:rFonts w:eastAsia="仿宋_GB2312"/>
                <w:color w:val="000000"/>
                <w:sz w:val="24"/>
              </w:rPr>
            </w:pPr>
            <w:r>
              <w:rPr>
                <w:rFonts w:eastAsia="仿宋_GB2312"/>
                <w:color w:val="000000"/>
                <w:sz w:val="24"/>
              </w:rPr>
              <w:t>序号</w:t>
            </w:r>
          </w:p>
        </w:tc>
        <w:tc>
          <w:tcPr>
            <w:tcW w:w="592" w:type="pct"/>
            <w:vAlign w:val="center"/>
          </w:tcPr>
          <w:p>
            <w:pPr>
              <w:tabs>
                <w:tab w:val="left" w:pos="1701"/>
              </w:tabs>
              <w:jc w:val="center"/>
              <w:rPr>
                <w:rFonts w:eastAsia="仿宋_GB2312"/>
                <w:color w:val="000000"/>
                <w:sz w:val="24"/>
              </w:rPr>
            </w:pPr>
            <w:r>
              <w:rPr>
                <w:rFonts w:eastAsia="仿宋_GB2312"/>
                <w:color w:val="000000"/>
                <w:sz w:val="24"/>
              </w:rPr>
              <w:t>设施新增年份</w:t>
            </w:r>
          </w:p>
        </w:tc>
        <w:tc>
          <w:tcPr>
            <w:tcW w:w="1856" w:type="pct"/>
            <w:vAlign w:val="center"/>
          </w:tcPr>
          <w:p>
            <w:pPr>
              <w:tabs>
                <w:tab w:val="left" w:pos="1701"/>
              </w:tabs>
              <w:jc w:val="center"/>
              <w:rPr>
                <w:rFonts w:eastAsia="仿宋_GB2312"/>
                <w:color w:val="000000"/>
                <w:sz w:val="24"/>
              </w:rPr>
            </w:pPr>
            <w:r>
              <w:rPr>
                <w:rFonts w:eastAsia="仿宋_GB2312"/>
                <w:color w:val="000000"/>
                <w:sz w:val="24"/>
              </w:rPr>
              <w:t>新增设施类型</w:t>
            </w:r>
          </w:p>
        </w:tc>
        <w:tc>
          <w:tcPr>
            <w:tcW w:w="754" w:type="pct"/>
            <w:vAlign w:val="center"/>
          </w:tcPr>
          <w:p>
            <w:pPr>
              <w:tabs>
                <w:tab w:val="left" w:pos="1701"/>
              </w:tabs>
              <w:jc w:val="center"/>
              <w:rPr>
                <w:rFonts w:eastAsia="仿宋_GB2312"/>
                <w:color w:val="000000"/>
                <w:sz w:val="24"/>
              </w:rPr>
            </w:pPr>
            <w:r>
              <w:rPr>
                <w:rFonts w:eastAsia="仿宋_GB2312"/>
                <w:color w:val="000000"/>
                <w:sz w:val="24"/>
              </w:rPr>
              <w:t>是否替代既有设施，被替代既有设施类型</w:t>
            </w:r>
          </w:p>
        </w:tc>
        <w:tc>
          <w:tcPr>
            <w:tcW w:w="655" w:type="pct"/>
            <w:vAlign w:val="center"/>
          </w:tcPr>
          <w:p>
            <w:pPr>
              <w:tabs>
                <w:tab w:val="left" w:pos="1701"/>
              </w:tabs>
              <w:jc w:val="center"/>
              <w:rPr>
                <w:rFonts w:eastAsia="仿宋_GB2312"/>
                <w:color w:val="000000"/>
                <w:sz w:val="24"/>
              </w:rPr>
            </w:pPr>
            <w:r>
              <w:rPr>
                <w:rFonts w:eastAsia="仿宋_GB2312"/>
                <w:color w:val="000000"/>
                <w:sz w:val="24"/>
              </w:rPr>
              <w:t>新增设施排放量（吨）</w:t>
            </w:r>
          </w:p>
        </w:tc>
        <w:tc>
          <w:tcPr>
            <w:tcW w:w="757" w:type="pct"/>
            <w:vAlign w:val="center"/>
          </w:tcPr>
          <w:p>
            <w:pPr>
              <w:tabs>
                <w:tab w:val="left" w:pos="1701"/>
              </w:tabs>
              <w:jc w:val="center"/>
              <w:rPr>
                <w:rFonts w:eastAsia="仿宋_GB2312"/>
                <w:color w:val="000000"/>
                <w:sz w:val="24"/>
              </w:rPr>
            </w:pPr>
            <w:r>
              <w:rPr>
                <w:rFonts w:eastAsia="仿宋_GB2312"/>
                <w:color w:val="000000"/>
                <w:sz w:val="24"/>
              </w:rPr>
              <w:t>新增替代既有设施排放量（吨）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6" w:type="pct"/>
            <w:vAlign w:val="center"/>
          </w:tcPr>
          <w:p>
            <w:pPr>
              <w:jc w:val="center"/>
              <w:rPr>
                <w:rFonts w:eastAsia="仿宋_GB2312"/>
                <w:color w:val="000000"/>
                <w:sz w:val="24"/>
              </w:rPr>
            </w:pPr>
            <w:r>
              <w:rPr>
                <w:rFonts w:eastAsia="仿宋_GB2312"/>
                <w:color w:val="000000"/>
                <w:sz w:val="24"/>
              </w:rPr>
              <w:t>1</w:t>
            </w:r>
          </w:p>
        </w:tc>
        <w:tc>
          <w:tcPr>
            <w:tcW w:w="592" w:type="pct"/>
            <w:vAlign w:val="center"/>
          </w:tcPr>
          <w:p>
            <w:pPr>
              <w:jc w:val="center"/>
              <w:rPr>
                <w:rFonts w:eastAsia="仿宋_GB2312"/>
                <w:sz w:val="24"/>
              </w:rPr>
            </w:pPr>
            <w:r>
              <w:rPr>
                <w:rFonts w:eastAsia="仿宋_GB2312"/>
                <w:sz w:val="24"/>
              </w:rPr>
              <w:t>2019</w:t>
            </w:r>
          </w:p>
        </w:tc>
        <w:tc>
          <w:tcPr>
            <w:tcW w:w="1856" w:type="pct"/>
            <w:vAlign w:val="center"/>
          </w:tcPr>
          <w:p>
            <w:pPr>
              <w:rPr>
                <w:rFonts w:eastAsia="仿宋_GB2312"/>
                <w:sz w:val="24"/>
              </w:rPr>
            </w:pPr>
            <w:r>
              <w:rPr>
                <w:rFonts w:eastAsia="仿宋_GB2312"/>
                <w:sz w:val="24"/>
              </w:rPr>
              <w:t>支行2个：xxx支行、xx大厦支行</w:t>
            </w:r>
          </w:p>
        </w:tc>
        <w:tc>
          <w:tcPr>
            <w:tcW w:w="754" w:type="pct"/>
            <w:vAlign w:val="center"/>
          </w:tcPr>
          <w:p>
            <w:pPr>
              <w:jc w:val="center"/>
              <w:rPr>
                <w:rFonts w:eastAsia="仿宋_GB2312"/>
                <w:sz w:val="24"/>
              </w:rPr>
            </w:pPr>
            <w:r>
              <w:rPr>
                <w:rFonts w:eastAsia="仿宋_GB2312"/>
                <w:sz w:val="24"/>
              </w:rPr>
              <w:t>否</w:t>
            </w:r>
          </w:p>
        </w:tc>
        <w:tc>
          <w:tcPr>
            <w:tcW w:w="655" w:type="pct"/>
            <w:vAlign w:val="center"/>
          </w:tcPr>
          <w:p>
            <w:pPr>
              <w:jc w:val="center"/>
              <w:rPr>
                <w:rFonts w:eastAsia="仿宋_GB2312"/>
                <w:sz w:val="24"/>
              </w:rPr>
            </w:pPr>
            <w:r>
              <w:rPr>
                <w:rFonts w:eastAsia="仿宋_GB2312"/>
                <w:sz w:val="24"/>
              </w:rPr>
              <w:t>228.41</w:t>
            </w:r>
          </w:p>
        </w:tc>
        <w:tc>
          <w:tcPr>
            <w:tcW w:w="757" w:type="pct"/>
            <w:vAlign w:val="center"/>
          </w:tcPr>
          <w:p>
            <w:pPr>
              <w:jc w:val="center"/>
              <w:rPr>
                <w:rFonts w:eastAsia="仿宋_GB2312"/>
                <w:sz w:val="24"/>
              </w:rPr>
            </w:pP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6" w:type="pct"/>
            <w:vAlign w:val="center"/>
          </w:tcPr>
          <w:p>
            <w:pPr>
              <w:jc w:val="center"/>
              <w:rPr>
                <w:rFonts w:eastAsia="仿宋_GB2312"/>
                <w:color w:val="000000"/>
                <w:sz w:val="24"/>
              </w:rPr>
            </w:pPr>
            <w:r>
              <w:rPr>
                <w:rFonts w:eastAsia="仿宋_GB2312"/>
                <w:color w:val="000000"/>
                <w:sz w:val="24"/>
              </w:rPr>
              <w:t>2</w:t>
            </w:r>
          </w:p>
        </w:tc>
        <w:tc>
          <w:tcPr>
            <w:tcW w:w="592" w:type="pct"/>
            <w:vAlign w:val="center"/>
          </w:tcPr>
          <w:p>
            <w:pPr>
              <w:jc w:val="center"/>
              <w:rPr>
                <w:rFonts w:eastAsia="仿宋_GB2312"/>
                <w:sz w:val="24"/>
              </w:rPr>
            </w:pPr>
            <w:r>
              <w:rPr>
                <w:rFonts w:eastAsia="仿宋_GB2312"/>
                <w:sz w:val="24"/>
              </w:rPr>
              <w:t>2020</w:t>
            </w:r>
          </w:p>
        </w:tc>
        <w:tc>
          <w:tcPr>
            <w:tcW w:w="1856" w:type="pct"/>
            <w:vAlign w:val="center"/>
          </w:tcPr>
          <w:p>
            <w:pPr>
              <w:rPr>
                <w:rFonts w:eastAsia="仿宋_GB2312"/>
                <w:sz w:val="24"/>
              </w:rPr>
            </w:pPr>
            <w:r>
              <w:rPr>
                <w:rFonts w:eastAsia="仿宋_GB2312"/>
                <w:sz w:val="24"/>
              </w:rPr>
              <w:t>1处办公区域：分行月坛大厦办公区域</w:t>
            </w:r>
          </w:p>
        </w:tc>
        <w:tc>
          <w:tcPr>
            <w:tcW w:w="754" w:type="pct"/>
            <w:vAlign w:val="center"/>
          </w:tcPr>
          <w:p>
            <w:pPr>
              <w:jc w:val="center"/>
              <w:rPr>
                <w:rFonts w:eastAsia="仿宋_GB2312"/>
                <w:sz w:val="24"/>
              </w:rPr>
            </w:pPr>
            <w:r>
              <w:rPr>
                <w:rFonts w:eastAsia="仿宋_GB2312"/>
                <w:sz w:val="24"/>
              </w:rPr>
              <w:t>否</w:t>
            </w:r>
          </w:p>
        </w:tc>
        <w:tc>
          <w:tcPr>
            <w:tcW w:w="655" w:type="pct"/>
            <w:vAlign w:val="center"/>
          </w:tcPr>
          <w:p>
            <w:pPr>
              <w:jc w:val="center"/>
              <w:rPr>
                <w:rFonts w:eastAsia="仿宋_GB2312"/>
                <w:sz w:val="24"/>
              </w:rPr>
            </w:pPr>
            <w:r>
              <w:rPr>
                <w:rFonts w:eastAsia="仿宋_GB2312"/>
                <w:sz w:val="24"/>
              </w:rPr>
              <w:t>5343.50</w:t>
            </w:r>
          </w:p>
        </w:tc>
        <w:tc>
          <w:tcPr>
            <w:tcW w:w="757" w:type="pct"/>
            <w:vAlign w:val="center"/>
          </w:tcPr>
          <w:p>
            <w:pPr>
              <w:jc w:val="center"/>
              <w:rPr>
                <w:rFonts w:eastAsia="仿宋_GB2312"/>
                <w:sz w:val="24"/>
              </w:rPr>
            </w:pPr>
            <w:r>
              <w:rPr>
                <w:rFonts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6" w:type="pct"/>
            <w:vAlign w:val="center"/>
          </w:tcPr>
          <w:p>
            <w:pPr>
              <w:jc w:val="center"/>
              <w:rPr>
                <w:rFonts w:eastAsia="仿宋_GB2312"/>
                <w:sz w:val="24"/>
              </w:rPr>
            </w:pPr>
            <w:r>
              <w:rPr>
                <w:rFonts w:eastAsia="仿宋_GB2312"/>
                <w:color w:val="000000"/>
                <w:sz w:val="24"/>
              </w:rPr>
              <w:t>合计</w:t>
            </w:r>
          </w:p>
        </w:tc>
        <w:tc>
          <w:tcPr>
            <w:tcW w:w="592" w:type="pct"/>
            <w:vAlign w:val="center"/>
          </w:tcPr>
          <w:p>
            <w:pPr>
              <w:jc w:val="center"/>
              <w:rPr>
                <w:rFonts w:eastAsia="仿宋_GB2312"/>
                <w:sz w:val="24"/>
              </w:rPr>
            </w:pPr>
          </w:p>
        </w:tc>
        <w:tc>
          <w:tcPr>
            <w:tcW w:w="1856" w:type="pct"/>
            <w:vAlign w:val="center"/>
          </w:tcPr>
          <w:p>
            <w:pPr>
              <w:jc w:val="center"/>
              <w:rPr>
                <w:rFonts w:eastAsia="仿宋_GB2312"/>
                <w:sz w:val="24"/>
              </w:rPr>
            </w:pPr>
          </w:p>
        </w:tc>
        <w:tc>
          <w:tcPr>
            <w:tcW w:w="754" w:type="pct"/>
            <w:vAlign w:val="center"/>
          </w:tcPr>
          <w:p>
            <w:pPr>
              <w:jc w:val="center"/>
              <w:rPr>
                <w:rFonts w:eastAsia="仿宋_GB2312"/>
                <w:sz w:val="24"/>
              </w:rPr>
            </w:pPr>
          </w:p>
        </w:tc>
        <w:tc>
          <w:tcPr>
            <w:tcW w:w="655" w:type="pct"/>
            <w:vAlign w:val="center"/>
          </w:tcPr>
          <w:p>
            <w:pPr>
              <w:jc w:val="center"/>
              <w:rPr>
                <w:rFonts w:eastAsia="仿宋_GB2312"/>
                <w:sz w:val="24"/>
              </w:rPr>
            </w:pPr>
            <w:r>
              <w:rPr>
                <w:rFonts w:eastAsia="仿宋_GB2312"/>
                <w:sz w:val="24"/>
              </w:rPr>
              <w:t>5571.90</w:t>
            </w:r>
          </w:p>
        </w:tc>
        <w:tc>
          <w:tcPr>
            <w:tcW w:w="757" w:type="pct"/>
            <w:vAlign w:val="center"/>
          </w:tcPr>
          <w:p>
            <w:pPr>
              <w:jc w:val="center"/>
              <w:rPr>
                <w:rFonts w:eastAsia="仿宋_GB2312"/>
                <w:sz w:val="24"/>
              </w:rPr>
            </w:pPr>
            <w:r>
              <w:rPr>
                <w:rFonts w:eastAsia="仿宋_GB2312"/>
                <w:sz w:val="24"/>
              </w:rPr>
              <w:t>/</w:t>
            </w:r>
          </w:p>
        </w:tc>
      </w:tr>
    </w:tbl>
    <w:p>
      <w:pPr>
        <w:spacing w:after="0" w:line="560" w:lineRule="exact"/>
        <w:ind w:firstLine="465"/>
        <w:jc w:val="both"/>
        <w:rPr>
          <w:rFonts w:eastAsia="仿宋_GB2312"/>
          <w:sz w:val="32"/>
          <w:szCs w:val="32"/>
        </w:rPr>
      </w:pPr>
      <w:r>
        <w:rPr>
          <w:rFonts w:eastAsia="仿宋_GB2312"/>
          <w:sz w:val="32"/>
          <w:szCs w:val="32"/>
        </w:rPr>
        <w:t>2020年累计新增设施总排放量为</w:t>
      </w:r>
      <w:r>
        <w:rPr>
          <w:rFonts w:eastAsia="仿宋_GB2312"/>
          <w:color w:val="000000"/>
          <w:sz w:val="32"/>
          <w:szCs w:val="32"/>
        </w:rPr>
        <w:t>5571.90吨</w:t>
      </w:r>
      <w:r>
        <w:rPr>
          <w:rFonts w:eastAsia="仿宋_GB2312"/>
          <w:sz w:val="32"/>
          <w:szCs w:val="32"/>
        </w:rPr>
        <w:t>，占基准年排放量的</w:t>
      </w:r>
      <w:r>
        <w:rPr>
          <w:rFonts w:hint="eastAsia" w:eastAsia="仿宋_GB2312"/>
          <w:sz w:val="32"/>
          <w:szCs w:val="32"/>
        </w:rPr>
        <w:t>5</w:t>
      </w:r>
      <w:r>
        <w:rPr>
          <w:rFonts w:eastAsia="仿宋_GB2312"/>
          <w:sz w:val="32"/>
          <w:szCs w:val="32"/>
        </w:rPr>
        <w:t>4.34%，新增</w:t>
      </w:r>
      <w:r>
        <w:rPr>
          <w:rFonts w:hint="eastAsia" w:eastAsia="仿宋_GB2312"/>
          <w:sz w:val="32"/>
          <w:szCs w:val="32"/>
        </w:rPr>
        <w:t>支行及办公区</w:t>
      </w:r>
      <w:r>
        <w:rPr>
          <w:rFonts w:eastAsia="仿宋_GB2312"/>
          <w:sz w:val="32"/>
          <w:szCs w:val="32"/>
        </w:rPr>
        <w:t>建筑面积</w:t>
      </w:r>
      <w:r>
        <w:rPr>
          <w:rFonts w:hint="eastAsia" w:eastAsia="仿宋_GB2312"/>
          <w:sz w:val="32"/>
          <w:szCs w:val="32"/>
        </w:rPr>
        <w:t>xxxx平方米</w:t>
      </w:r>
      <w:r>
        <w:rPr>
          <w:rFonts w:eastAsia="仿宋_GB2312"/>
          <w:sz w:val="32"/>
          <w:szCs w:val="32"/>
        </w:rPr>
        <w:t>，</w:t>
      </w:r>
      <w:r>
        <w:rPr>
          <w:rFonts w:hint="eastAsia" w:eastAsia="仿宋_GB2312"/>
          <w:sz w:val="32"/>
          <w:szCs w:val="32"/>
        </w:rPr>
        <w:t>未新增数据中心。</w:t>
      </w:r>
      <w:r>
        <w:rPr>
          <w:rFonts w:eastAsia="仿宋_GB2312"/>
          <w:sz w:val="32"/>
          <w:szCs w:val="32"/>
        </w:rPr>
        <w:t>此信息供新增设施发放配额参考。</w:t>
      </w:r>
    </w:p>
    <w:p>
      <w:pPr>
        <w:spacing w:after="0" w:line="56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 核查过程未覆盖的问题描述</w:t>
      </w:r>
    </w:p>
    <w:p>
      <w:pPr>
        <w:spacing w:after="0" w:line="560" w:lineRule="exact"/>
        <w:ind w:firstLine="640" w:firstLineChars="200"/>
        <w:rPr>
          <w:rFonts w:eastAsia="仿宋_GB2312"/>
          <w:sz w:val="32"/>
          <w:szCs w:val="32"/>
        </w:rPr>
      </w:pPr>
      <w:r>
        <w:rPr>
          <w:rFonts w:eastAsia="仿宋_GB2312"/>
          <w:sz w:val="32"/>
          <w:szCs w:val="32"/>
        </w:rPr>
        <w:t>由于电表为电力公司和物业管控，因此未能核查这些仪表的检定信息。</w:t>
      </w:r>
    </w:p>
    <w:p>
      <w:pPr>
        <w:spacing w:after="0" w:line="560" w:lineRule="exact"/>
      </w:pPr>
    </w:p>
    <w:p>
      <w:pPr>
        <w:pStyle w:val="4"/>
        <w:spacing w:before="0" w:after="0" w:line="560" w:lineRule="exact"/>
        <w:rPr>
          <w:rFonts w:ascii="Times New Roman" w:hAnsi="Times New Roman"/>
        </w:rPr>
        <w:sectPr>
          <w:pgSz w:w="11906" w:h="16838"/>
          <w:pgMar w:top="2098" w:right="1474" w:bottom="1984" w:left="1587" w:header="851" w:footer="1587" w:gutter="0"/>
          <w:paperSrc/>
          <w:pgNumType w:fmt="decimal"/>
          <w:cols w:space="0" w:num="1"/>
          <w:rtlGutter w:val="0"/>
          <w:docGrid w:type="lines" w:linePitch="312" w:charSpace="0"/>
        </w:sectPr>
      </w:pPr>
    </w:p>
    <w:p>
      <w:pPr>
        <w:pStyle w:val="4"/>
        <w:spacing w:before="0" w:after="0" w:line="56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其他服务业企业（单位）</w:t>
      </w:r>
      <w:r>
        <w:rPr>
          <w:rFonts w:asciiTheme="majorEastAsia" w:hAnsiTheme="majorEastAsia" w:eastAsiaTheme="majorEastAsia"/>
          <w:sz w:val="32"/>
          <w:szCs w:val="32"/>
        </w:rPr>
        <w:t>-</w:t>
      </w:r>
      <w:r>
        <w:rPr>
          <w:rFonts w:hint="eastAsia" w:asciiTheme="majorEastAsia" w:hAnsiTheme="majorEastAsia" w:eastAsiaTheme="majorEastAsia"/>
          <w:sz w:val="32"/>
          <w:szCs w:val="32"/>
        </w:rPr>
        <w:t>物业</w:t>
      </w:r>
    </w:p>
    <w:p>
      <w:pPr>
        <w:spacing w:after="0" w:line="560" w:lineRule="exact"/>
        <w:rPr>
          <w:rFonts w:ascii="Times New Roman" w:hAnsi="Times New Roman" w:eastAsia="仿宋_GB2312"/>
          <w:sz w:val="32"/>
          <w:szCs w:val="32"/>
        </w:rPr>
      </w:pPr>
      <w:r>
        <w:rPr>
          <w:rFonts w:ascii="Times New Roman" w:hAnsi="Times New Roman" w:eastAsia="仿宋_GB2312"/>
          <w:sz w:val="32"/>
          <w:szCs w:val="32"/>
        </w:rPr>
        <w:t>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
          <w:sz w:val="32"/>
          <w:szCs w:val="32"/>
        </w:rPr>
        <w:t>xxxx公司（以下简称排放单位）委托xxx公司开展XXXX年</w:t>
      </w:r>
      <w:r>
        <w:rPr>
          <w:rFonts w:ascii="Times New Roman" w:hAnsi="Times New Roman" w:eastAsia="仿宋_GB2312"/>
          <w:sz w:val="32"/>
          <w:szCs w:val="32"/>
        </w:rPr>
        <w:t>二氧化碳排放的核查工作。核查范围包括排放单位所有在北京市辖区内的固定设施导致的二氧化碳直接排放和二氧化碳间接排放。</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通过文件评审、现场访问、核查报告编写及内部技术复核，核查组对排放单位XXXX年度二氧化碳排放报告形成如下核查结论：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 核算、报告与方法学的符合性</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核查组确认所有不符合已全部关闭，排放单位的核算与报告均符合方法学</w:t>
      </w:r>
      <w:r>
        <w:rPr>
          <w:rFonts w:hint="eastAsia" w:ascii="Times New Roman" w:hAnsi="Times New Roman" w:eastAsia="仿宋_GB2312"/>
          <w:sz w:val="32"/>
          <w:szCs w:val="32"/>
        </w:rPr>
        <w:t>《二氧化碳排放核算和报告要求服务业》（DB11/T 1785-2020）</w:t>
      </w:r>
      <w:r>
        <w:rPr>
          <w:rFonts w:ascii="Times New Roman" w:hAnsi="Times New Roman" w:eastAsia="仿宋_GB2312"/>
          <w:sz w:val="32"/>
          <w:szCs w:val="32"/>
        </w:rPr>
        <w:t>的要求，核查组对本排放报告出具肯定的核查结论。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 本年度排放量及活动水平数据的声明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经核查的直接和间接排放量与最终排放报告中的一</w:t>
      </w:r>
      <w:r>
        <w:rPr>
          <w:rFonts w:hint="eastAsia" w:ascii="Times New Roman" w:hAnsi="Times New Roman" w:eastAsia="仿宋_GB2312"/>
          <w:sz w:val="32"/>
          <w:szCs w:val="32"/>
        </w:rPr>
        <w:t>致。经核查的直接排放量为</w:t>
      </w:r>
      <w:r>
        <w:rPr>
          <w:rFonts w:ascii="Times New Roman" w:hAnsi="Times New Roman" w:eastAsia="仿宋_GB2312"/>
          <w:sz w:val="32"/>
          <w:szCs w:val="32"/>
        </w:rPr>
        <w:t>950.56</w:t>
      </w:r>
      <w:r>
        <w:rPr>
          <w:rFonts w:hint="eastAsia" w:ascii="Times New Roman" w:hAnsi="Times New Roman" w:eastAsia="仿宋_GB2312"/>
          <w:sz w:val="32"/>
          <w:szCs w:val="32"/>
        </w:rPr>
        <w:t>吨，间接排放量为</w:t>
      </w:r>
      <w:r>
        <w:rPr>
          <w:rFonts w:ascii="Times New Roman" w:hAnsi="Times New Roman" w:eastAsia="仿宋_GB2312"/>
          <w:sz w:val="32"/>
          <w:szCs w:val="32"/>
        </w:rPr>
        <w:t>24628.50</w:t>
      </w:r>
      <w:r>
        <w:rPr>
          <w:rFonts w:hint="eastAsia" w:ascii="Times New Roman" w:hAnsi="Times New Roman" w:eastAsia="仿宋_GB2312"/>
          <w:sz w:val="32"/>
          <w:szCs w:val="32"/>
        </w:rPr>
        <w:t>吨，总排放量为</w:t>
      </w:r>
      <w:r>
        <w:rPr>
          <w:rFonts w:ascii="Times New Roman" w:hAnsi="Times New Roman" w:eastAsia="仿宋_GB2312"/>
          <w:sz w:val="32"/>
          <w:szCs w:val="32"/>
        </w:rPr>
        <w:t>25579.06</w:t>
      </w:r>
      <w:r>
        <w:rPr>
          <w:rFonts w:hint="eastAsia" w:ascii="Times New Roman" w:hAnsi="Times New Roman" w:eastAsia="仿宋_GB2312"/>
          <w:sz w:val="32"/>
          <w:szCs w:val="32"/>
        </w:rPr>
        <w:t>吨。</w:t>
      </w:r>
    </w:p>
    <w:p>
      <w:pPr>
        <w:spacing w:after="0" w:line="56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经核查的服务的商业写字楼建筑面积与最终排放报告中一致。经核查的商业写字楼建筑面积（不含地下车库）为</w:t>
      </w:r>
      <w:r>
        <w:rPr>
          <w:rFonts w:ascii="Times New Roman" w:hAnsi="Times New Roman" w:eastAsia="仿宋_GB2312"/>
          <w:sz w:val="32"/>
          <w:szCs w:val="32"/>
        </w:rPr>
        <w:t>xxxx</w:t>
      </w:r>
      <w:r>
        <w:rPr>
          <w:rFonts w:hint="eastAsia" w:ascii="Times New Roman" w:hAnsi="Times New Roman" w:eastAsia="仿宋_GB2312"/>
          <w:sz w:val="32"/>
          <w:szCs w:val="32"/>
        </w:rPr>
        <w:t>平方米，地下车库面积为</w:t>
      </w:r>
      <w:r>
        <w:rPr>
          <w:rFonts w:ascii="Times New Roman" w:hAnsi="Times New Roman" w:eastAsia="仿宋_GB2312"/>
          <w:sz w:val="32"/>
          <w:szCs w:val="32"/>
        </w:rPr>
        <w:t>xx</w:t>
      </w:r>
      <w:r>
        <w:rPr>
          <w:rFonts w:hint="eastAsia" w:ascii="Times New Roman" w:hAnsi="Times New Roman" w:eastAsia="仿宋_GB2312"/>
          <w:sz w:val="32"/>
          <w:szCs w:val="32"/>
        </w:rPr>
        <w:t>平方米，实际物业管理面积为</w:t>
      </w:r>
      <w:r>
        <w:rPr>
          <w:rFonts w:ascii="Times New Roman" w:hAnsi="Times New Roman" w:eastAsia="仿宋_GB2312"/>
          <w:sz w:val="32"/>
          <w:szCs w:val="32"/>
        </w:rPr>
        <w:t>xxx</w:t>
      </w:r>
      <w:r>
        <w:rPr>
          <w:rFonts w:hint="eastAsia" w:ascii="Times New Roman" w:hAnsi="Times New Roman" w:eastAsia="仿宋_GB2312"/>
          <w:sz w:val="32"/>
          <w:szCs w:val="32"/>
        </w:rPr>
        <w:t>平方米，产值为</w:t>
      </w:r>
      <w:r>
        <w:rPr>
          <w:rFonts w:ascii="Times New Roman" w:hAnsi="Times New Roman" w:eastAsia="仿宋_GB2312"/>
          <w:sz w:val="32"/>
          <w:szCs w:val="32"/>
        </w:rPr>
        <w:t>xxx</w:t>
      </w:r>
      <w:r>
        <w:rPr>
          <w:rFonts w:hint="eastAsia" w:ascii="Times New Roman" w:hAnsi="Times New Roman" w:eastAsia="仿宋_GB2312"/>
          <w:sz w:val="32"/>
          <w:szCs w:val="32"/>
        </w:rPr>
        <w:t>万元（其中物业管理费</w:t>
      </w:r>
      <w:r>
        <w:rPr>
          <w:rFonts w:ascii="Times New Roman" w:hAnsi="Times New Roman" w:eastAsia="仿宋_GB2312"/>
          <w:sz w:val="32"/>
          <w:szCs w:val="32"/>
        </w:rPr>
        <w:t>xx</w:t>
      </w:r>
      <w:r>
        <w:rPr>
          <w:rFonts w:hint="eastAsia" w:ascii="Times New Roman" w:hAnsi="Times New Roman" w:eastAsia="仿宋_GB2312"/>
          <w:sz w:val="32"/>
          <w:szCs w:val="32"/>
        </w:rPr>
        <w:t>万元，采暖制冷费用</w:t>
      </w:r>
      <w:r>
        <w:rPr>
          <w:rFonts w:ascii="Times New Roman" w:hAnsi="Times New Roman" w:eastAsia="仿宋_GB2312"/>
          <w:sz w:val="32"/>
          <w:szCs w:val="32"/>
        </w:rPr>
        <w:t>xx</w:t>
      </w:r>
      <w:r>
        <w:rPr>
          <w:rFonts w:hint="eastAsia" w:ascii="Times New Roman" w:hAnsi="Times New Roman" w:eastAsia="仿宋_GB2312"/>
          <w:sz w:val="32"/>
          <w:szCs w:val="32"/>
        </w:rPr>
        <w:t>万元，物业经</w:t>
      </w:r>
      <w:bookmarkStart w:id="31" w:name="_GoBack"/>
      <w:bookmarkEnd w:id="31"/>
      <w:r>
        <w:rPr>
          <w:rFonts w:hint="eastAsia" w:ascii="Times New Roman" w:hAnsi="Times New Roman" w:eastAsia="仿宋_GB2312"/>
          <w:sz w:val="32"/>
          <w:szCs w:val="32"/>
        </w:rPr>
        <w:t>营收入</w:t>
      </w:r>
      <w:r>
        <w:rPr>
          <w:rFonts w:ascii="Times New Roman" w:hAnsi="Times New Roman" w:eastAsia="仿宋_GB2312"/>
          <w:sz w:val="32"/>
          <w:szCs w:val="32"/>
        </w:rPr>
        <w:t>xx</w:t>
      </w:r>
      <w:r>
        <w:rPr>
          <w:rFonts w:hint="eastAsia" w:ascii="Times New Roman" w:hAnsi="Times New Roman" w:eastAsia="仿宋_GB2312"/>
          <w:sz w:val="32"/>
          <w:szCs w:val="32"/>
        </w:rPr>
        <w:t>万元，增值服务费</w:t>
      </w:r>
      <w:r>
        <w:rPr>
          <w:rFonts w:ascii="Times New Roman" w:hAnsi="Times New Roman" w:eastAsia="仿宋_GB2312"/>
          <w:sz w:val="32"/>
          <w:szCs w:val="32"/>
        </w:rPr>
        <w:t>xx</w:t>
      </w:r>
      <w:r>
        <w:rPr>
          <w:rFonts w:hint="eastAsia" w:ascii="Times New Roman" w:hAnsi="Times New Roman" w:eastAsia="仿宋_GB2312"/>
          <w:sz w:val="32"/>
          <w:szCs w:val="32"/>
        </w:rPr>
        <w:t>万元），入驻率为</w:t>
      </w:r>
      <w:r>
        <w:rPr>
          <w:rFonts w:ascii="Times New Roman" w:hAnsi="Times New Roman" w:eastAsia="仿宋_GB2312"/>
          <w:sz w:val="32"/>
          <w:szCs w:val="32"/>
        </w:rPr>
        <w:t>xx%</w:t>
      </w:r>
      <w:r>
        <w:rPr>
          <w:rFonts w:hint="eastAsia" w:ascii="Times New Roman" w:hAnsi="Times New Roman" w:eastAsia="仿宋_GB2312"/>
          <w:sz w:val="32"/>
          <w:szCs w:val="32"/>
        </w:rPr>
        <w:t>。</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 xml:space="preserve">3. </w:t>
      </w:r>
      <w:r>
        <w:rPr>
          <w:rFonts w:hint="eastAsia" w:ascii="Times New Roman" w:hAnsi="Times New Roman" w:eastAsia="仿宋_GB2312"/>
          <w:sz w:val="32"/>
          <w:szCs w:val="32"/>
        </w:rPr>
        <w:t>年度排放量及活动水平波动的原因说明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排放单位本年度排放量与上一年度排放量相比增加1947.91吨/8.24%，其中直接排放量与上年度相比减少32.79吨/3.3</w:t>
      </w:r>
      <w:r>
        <w:rPr>
          <w:rFonts w:hint="eastAsia" w:ascii="Times New Roman" w:hAnsi="Times New Roman" w:eastAsia="仿宋_GB2312"/>
          <w:sz w:val="32"/>
          <w:szCs w:val="32"/>
        </w:rPr>
        <w:t>3</w:t>
      </w:r>
      <w:r>
        <w:rPr>
          <w:rFonts w:ascii="Times New Roman" w:hAnsi="Times New Roman" w:eastAsia="仿宋_GB2312"/>
          <w:sz w:val="32"/>
          <w:szCs w:val="32"/>
        </w:rPr>
        <w:t>%，间接排放量与上一年度相比增加1980.7吨/8.75%。原因为排放单位服务范围新增xx发展中心，电力消耗量大幅上升导致排放量大幅上升。</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本年度排放量与历史基准年份相比增加1947.91</w:t>
      </w:r>
      <w:r>
        <w:rPr>
          <w:rFonts w:hint="eastAsia" w:ascii="Times New Roman" w:hAnsi="Times New Roman" w:eastAsia="仿宋_GB2312"/>
          <w:sz w:val="32"/>
          <w:szCs w:val="32"/>
        </w:rPr>
        <w:t>吨</w:t>
      </w:r>
      <w:r>
        <w:rPr>
          <w:rFonts w:ascii="Times New Roman" w:hAnsi="Times New Roman" w:eastAsia="仿宋_GB2312"/>
          <w:sz w:val="32"/>
          <w:szCs w:val="32"/>
        </w:rPr>
        <w:t>/8.24%，原因为排放单位服务范围与基准年相比新增xx发展中心，电力消耗量大幅上升导致排放量大幅上升。</w:t>
      </w:r>
    </w:p>
    <w:p>
      <w:pPr>
        <w:jc w:val="center"/>
        <w:rPr>
          <w:rFonts w:ascii="Times New Roman" w:hAnsi="Times New Roman" w:eastAsia="仿宋_GB2312"/>
          <w:sz w:val="28"/>
          <w:szCs w:val="28"/>
        </w:rPr>
      </w:pPr>
      <w:r>
        <w:rPr>
          <w:rFonts w:ascii="Times New Roman" w:hAnsi="Times New Roman" w:eastAsia="仿宋_GB2312"/>
          <w:sz w:val="28"/>
          <w:szCs w:val="28"/>
        </w:rPr>
        <w:t>表xx  排放量汇总表</w:t>
      </w:r>
    </w:p>
    <w:tbl>
      <w:tblPr>
        <w:tblStyle w:val="35"/>
        <w:tblW w:w="7917" w:type="dxa"/>
        <w:jc w:val="center"/>
        <w:tblLayout w:type="autofit"/>
        <w:tblCellMar>
          <w:top w:w="0" w:type="dxa"/>
          <w:left w:w="108" w:type="dxa"/>
          <w:bottom w:w="0" w:type="dxa"/>
          <w:right w:w="108" w:type="dxa"/>
        </w:tblCellMar>
      </w:tblPr>
      <w:tblGrid>
        <w:gridCol w:w="1702"/>
        <w:gridCol w:w="1702"/>
        <w:gridCol w:w="2166"/>
        <w:gridCol w:w="2347"/>
      </w:tblGrid>
      <w:tr>
        <w:tblPrEx>
          <w:tblCellMar>
            <w:top w:w="0" w:type="dxa"/>
            <w:left w:w="108" w:type="dxa"/>
            <w:bottom w:w="0" w:type="dxa"/>
            <w:right w:w="108" w:type="dxa"/>
          </w:tblCellMar>
        </w:tblPrEx>
        <w:trPr>
          <w:trHeight w:val="1028" w:hRule="atLeast"/>
          <w:jc w:val="center"/>
        </w:trPr>
        <w:tc>
          <w:tcPr>
            <w:tcW w:w="170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年度</w:t>
            </w:r>
          </w:p>
        </w:tc>
        <w:tc>
          <w:tcPr>
            <w:tcW w:w="1702"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直接排放量（tCO</w:t>
            </w:r>
            <w:r>
              <w:rPr>
                <w:rFonts w:ascii="Times New Roman" w:hAnsi="Times New Roman" w:eastAsia="仿宋_GB2312"/>
                <w:color w:val="000000"/>
                <w:sz w:val="24"/>
                <w:vertAlign w:val="subscript"/>
              </w:rPr>
              <w:t>2</w:t>
            </w:r>
            <w:r>
              <w:rPr>
                <w:rFonts w:ascii="Times New Roman" w:hAnsi="Times New Roman" w:eastAsia="仿宋_GB2312"/>
                <w:color w:val="000000"/>
                <w:sz w:val="24"/>
              </w:rPr>
              <w:t>）</w:t>
            </w:r>
          </w:p>
        </w:tc>
        <w:tc>
          <w:tcPr>
            <w:tcW w:w="2166"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间接排放量（tCO</w:t>
            </w:r>
            <w:r>
              <w:rPr>
                <w:rFonts w:ascii="Times New Roman" w:hAnsi="Times New Roman" w:eastAsia="仿宋_GB2312"/>
                <w:color w:val="000000"/>
                <w:sz w:val="24"/>
                <w:vertAlign w:val="subscript"/>
              </w:rPr>
              <w:t>2</w:t>
            </w:r>
            <w:r>
              <w:rPr>
                <w:rFonts w:ascii="Times New Roman" w:hAnsi="Times New Roman" w:eastAsia="仿宋_GB2312"/>
                <w:color w:val="000000"/>
                <w:sz w:val="24"/>
              </w:rPr>
              <w:t>）</w:t>
            </w:r>
          </w:p>
        </w:tc>
        <w:tc>
          <w:tcPr>
            <w:tcW w:w="2347"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仿宋_GB2312"/>
                <w:color w:val="000000"/>
                <w:sz w:val="24"/>
              </w:rPr>
            </w:pPr>
            <w:r>
              <w:rPr>
                <w:rFonts w:ascii="Times New Roman" w:hAnsi="Times New Roman" w:eastAsia="仿宋_GB2312"/>
                <w:color w:val="000000"/>
                <w:sz w:val="24"/>
              </w:rPr>
              <w:t>排放总量（tCO</w:t>
            </w:r>
            <w:r>
              <w:rPr>
                <w:rFonts w:ascii="Times New Roman" w:hAnsi="Times New Roman" w:eastAsia="仿宋_GB2312"/>
                <w:color w:val="000000"/>
                <w:sz w:val="24"/>
                <w:vertAlign w:val="subscript"/>
              </w:rPr>
              <w:t>2</w:t>
            </w:r>
            <w:r>
              <w:rPr>
                <w:rFonts w:ascii="Times New Roman" w:hAnsi="Times New Roman" w:eastAsia="仿宋_GB2312"/>
                <w:color w:val="000000"/>
                <w:sz w:val="24"/>
              </w:rPr>
              <w:t>）</w:t>
            </w:r>
          </w:p>
        </w:tc>
      </w:tr>
      <w:tr>
        <w:tblPrEx>
          <w:tblCellMar>
            <w:top w:w="0" w:type="dxa"/>
            <w:left w:w="108" w:type="dxa"/>
            <w:bottom w:w="0" w:type="dxa"/>
            <w:right w:w="108" w:type="dxa"/>
          </w:tblCellMar>
        </w:tblPrEx>
        <w:trPr>
          <w:trHeight w:val="547" w:hRule="atLeast"/>
          <w:jc w:val="center"/>
        </w:trPr>
        <w:tc>
          <w:tcPr>
            <w:tcW w:w="1702"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2016</w:t>
            </w:r>
          </w:p>
        </w:tc>
        <w:tc>
          <w:tcPr>
            <w:tcW w:w="1702" w:type="dxa"/>
            <w:tcBorders>
              <w:top w:val="single" w:color="auto" w:sz="4" w:space="0"/>
              <w:left w:val="nil"/>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810.00</w:t>
            </w:r>
          </w:p>
        </w:tc>
        <w:tc>
          <w:tcPr>
            <w:tcW w:w="2166"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22067.80</w:t>
            </w:r>
          </w:p>
        </w:tc>
        <w:tc>
          <w:tcPr>
            <w:tcW w:w="23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 xml:space="preserve">22877.80 </w:t>
            </w:r>
          </w:p>
        </w:tc>
      </w:tr>
      <w:tr>
        <w:tblPrEx>
          <w:tblCellMar>
            <w:top w:w="0" w:type="dxa"/>
            <w:left w:w="108" w:type="dxa"/>
            <w:bottom w:w="0" w:type="dxa"/>
            <w:right w:w="108" w:type="dxa"/>
          </w:tblCellMar>
        </w:tblPrEx>
        <w:trPr>
          <w:trHeight w:val="347" w:hRule="atLeast"/>
          <w:jc w:val="center"/>
        </w:trPr>
        <w:tc>
          <w:tcPr>
            <w:tcW w:w="1702"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2017</w:t>
            </w:r>
          </w:p>
        </w:tc>
        <w:tc>
          <w:tcPr>
            <w:tcW w:w="1702" w:type="dxa"/>
            <w:tcBorders>
              <w:top w:val="single" w:color="auto" w:sz="4" w:space="0"/>
              <w:left w:val="nil"/>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830.25</w:t>
            </w:r>
          </w:p>
        </w:tc>
        <w:tc>
          <w:tcPr>
            <w:tcW w:w="2166"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22357.80</w:t>
            </w:r>
          </w:p>
        </w:tc>
        <w:tc>
          <w:tcPr>
            <w:tcW w:w="23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 xml:space="preserve">23188.05 </w:t>
            </w:r>
          </w:p>
        </w:tc>
      </w:tr>
      <w:tr>
        <w:tblPrEx>
          <w:tblCellMar>
            <w:top w:w="0" w:type="dxa"/>
            <w:left w:w="108" w:type="dxa"/>
            <w:bottom w:w="0" w:type="dxa"/>
            <w:right w:w="108" w:type="dxa"/>
          </w:tblCellMar>
        </w:tblPrEx>
        <w:trPr>
          <w:trHeight w:val="347" w:hRule="atLeast"/>
          <w:jc w:val="center"/>
        </w:trPr>
        <w:tc>
          <w:tcPr>
            <w:tcW w:w="1702" w:type="dxa"/>
            <w:tcBorders>
              <w:top w:val="nil"/>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2018</w:t>
            </w:r>
          </w:p>
        </w:tc>
        <w:tc>
          <w:tcPr>
            <w:tcW w:w="1702" w:type="dxa"/>
            <w:tcBorders>
              <w:top w:val="single" w:color="auto" w:sz="4" w:space="0"/>
              <w:left w:val="nil"/>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983.35</w:t>
            </w:r>
          </w:p>
        </w:tc>
        <w:tc>
          <w:tcPr>
            <w:tcW w:w="2166"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22647.80</w:t>
            </w:r>
          </w:p>
        </w:tc>
        <w:tc>
          <w:tcPr>
            <w:tcW w:w="23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 xml:space="preserve">23631.15 </w:t>
            </w:r>
          </w:p>
        </w:tc>
      </w:tr>
      <w:tr>
        <w:tblPrEx>
          <w:tblCellMar>
            <w:top w:w="0" w:type="dxa"/>
            <w:left w:w="108" w:type="dxa"/>
            <w:bottom w:w="0" w:type="dxa"/>
            <w:right w:w="108" w:type="dxa"/>
          </w:tblCellMar>
        </w:tblPrEx>
        <w:trPr>
          <w:trHeight w:val="347" w:hRule="atLeast"/>
          <w:jc w:val="center"/>
        </w:trPr>
        <w:tc>
          <w:tcPr>
            <w:tcW w:w="1702"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2019</w:t>
            </w:r>
          </w:p>
        </w:tc>
        <w:tc>
          <w:tcPr>
            <w:tcW w:w="1702" w:type="dxa"/>
            <w:tcBorders>
              <w:top w:val="single" w:color="auto" w:sz="4" w:space="0"/>
              <w:left w:val="nil"/>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950.56</w:t>
            </w:r>
          </w:p>
        </w:tc>
        <w:tc>
          <w:tcPr>
            <w:tcW w:w="2166"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bookmarkStart w:id="25" w:name="_Hlk34831329"/>
            <w:bookmarkStart w:id="26" w:name="_Hlk34830506"/>
            <w:r>
              <w:rPr>
                <w:rFonts w:ascii="Times New Roman" w:hAnsi="Times New Roman" w:eastAsia="仿宋_GB2312"/>
                <w:sz w:val="24"/>
              </w:rPr>
              <w:t>24628.50</w:t>
            </w:r>
            <w:bookmarkEnd w:id="25"/>
            <w:bookmarkEnd w:id="26"/>
          </w:p>
        </w:tc>
        <w:tc>
          <w:tcPr>
            <w:tcW w:w="23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 xml:space="preserve">25579.06 </w:t>
            </w:r>
          </w:p>
        </w:tc>
      </w:tr>
      <w:tr>
        <w:tblPrEx>
          <w:tblCellMar>
            <w:top w:w="0" w:type="dxa"/>
            <w:left w:w="108" w:type="dxa"/>
            <w:bottom w:w="0" w:type="dxa"/>
            <w:right w:w="108" w:type="dxa"/>
          </w:tblCellMar>
        </w:tblPrEx>
        <w:trPr>
          <w:trHeight w:val="347" w:hRule="atLeast"/>
          <w:jc w:val="center"/>
        </w:trPr>
        <w:tc>
          <w:tcPr>
            <w:tcW w:w="1702"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hint="eastAsia" w:ascii="Times New Roman" w:hAnsi="Times New Roman" w:eastAsia="仿宋_GB2312"/>
                <w:sz w:val="24"/>
              </w:rPr>
              <w:t>2</w:t>
            </w:r>
            <w:r>
              <w:rPr>
                <w:rFonts w:ascii="Times New Roman" w:hAnsi="Times New Roman" w:eastAsia="仿宋_GB2312"/>
                <w:sz w:val="24"/>
              </w:rPr>
              <w:t>020</w:t>
            </w:r>
          </w:p>
        </w:tc>
        <w:tc>
          <w:tcPr>
            <w:tcW w:w="1702" w:type="dxa"/>
            <w:tcBorders>
              <w:top w:val="single" w:color="auto" w:sz="4" w:space="0"/>
              <w:left w:val="nil"/>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950.56</w:t>
            </w:r>
          </w:p>
        </w:tc>
        <w:tc>
          <w:tcPr>
            <w:tcW w:w="2166" w:type="dxa"/>
            <w:tcBorders>
              <w:top w:val="single" w:color="auto" w:sz="4" w:space="0"/>
              <w:left w:val="single" w:color="auto" w:sz="4" w:space="0"/>
              <w:bottom w:val="single" w:color="auto" w:sz="4" w:space="0"/>
              <w:right w:val="single" w:color="auto" w:sz="4" w:space="0"/>
            </w:tcBorders>
            <w:noWrap/>
            <w:vAlign w:val="center"/>
          </w:tcPr>
          <w:p>
            <w:pPr>
              <w:jc w:val="center"/>
              <w:rPr>
                <w:rFonts w:ascii="Times New Roman" w:hAnsi="Times New Roman" w:eastAsia="仿宋_GB2312"/>
                <w:sz w:val="24"/>
              </w:rPr>
            </w:pPr>
            <w:r>
              <w:rPr>
                <w:rFonts w:ascii="Times New Roman" w:hAnsi="Times New Roman" w:eastAsia="仿宋_GB2312"/>
                <w:sz w:val="24"/>
              </w:rPr>
              <w:t>24628.50</w:t>
            </w:r>
          </w:p>
        </w:tc>
        <w:tc>
          <w:tcPr>
            <w:tcW w:w="234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 xml:space="preserve">25579.06 </w:t>
            </w:r>
          </w:p>
        </w:tc>
      </w:tr>
    </w:tbl>
    <w:p>
      <w:pPr>
        <w:jc w:val="center"/>
        <w:rPr>
          <w:rFonts w:ascii="Times New Roman" w:hAnsi="Times New Roman"/>
        </w:rPr>
      </w:pPr>
    </w:p>
    <w:p>
      <w:pPr>
        <w:jc w:val="center"/>
        <w:rPr>
          <w:rFonts w:ascii="Times New Roman" w:hAnsi="Times New Roman" w:eastAsia="仿宋_GB2312"/>
          <w:sz w:val="28"/>
          <w:szCs w:val="28"/>
        </w:rPr>
      </w:pPr>
      <w:r>
        <w:rPr>
          <w:lang w:val="en-US"/>
        </w:rPr>
        <w:drawing>
          <wp:inline distT="0" distB="0" distL="0" distR="0">
            <wp:extent cx="4568825" cy="2740025"/>
            <wp:effectExtent l="0" t="0" r="3175" b="3175"/>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pPr>
        <w:spacing w:after="0" w:line="560" w:lineRule="exact"/>
        <w:jc w:val="center"/>
        <w:rPr>
          <w:rFonts w:ascii="Times New Roman" w:hAnsi="Times New Roman" w:eastAsia="仿宋_GB2312"/>
          <w:sz w:val="28"/>
          <w:szCs w:val="28"/>
        </w:rPr>
      </w:pPr>
      <w:r>
        <w:rPr>
          <w:rFonts w:ascii="Times New Roman" w:hAnsi="Times New Roman" w:eastAsia="仿宋_GB2312"/>
          <w:sz w:val="28"/>
          <w:szCs w:val="28"/>
        </w:rPr>
        <w:t>图xx 排放量变化趋势图（增加</w:t>
      </w:r>
      <w:r>
        <w:rPr>
          <w:rFonts w:hint="eastAsia" w:ascii="Times New Roman" w:hAnsi="Times New Roman" w:eastAsia="仿宋_GB2312"/>
          <w:sz w:val="28"/>
          <w:szCs w:val="28"/>
        </w:rPr>
        <w:t>2</w:t>
      </w:r>
      <w:r>
        <w:rPr>
          <w:rFonts w:ascii="Times New Roman" w:hAnsi="Times New Roman" w:eastAsia="仿宋_GB2312"/>
          <w:sz w:val="28"/>
          <w:szCs w:val="28"/>
        </w:rPr>
        <w:t>020年度）</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 核算和报告边界变化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4.1 本年度场所边界的变化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排放单位核算和报告边界为在北京市辖区内的物业项目地，商业写字楼包括xxx、xxx，建筑面积（不含地下车库）xxxx平方米，地下车库面积xxxx平方米，实际物业管理面积xxx平方米。</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与上一年度相比，新增商业写字楼xx发展中心，建筑面积（不含地下车库）xxxx平方米，地下车库面积xxxx平方米，实际物业管理面积xxx平方米。</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与基准年相比，新增商业写字楼xx发展中心，建筑面积（不含地下车库）xxxx平方米，地下车库面积xxxx平方米，实际物业管理面积xxx平方米。</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4.2 本年度排放设施的变化</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排放单位不涉及既有配额调整。</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排放单位无既有设施退出。</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排放单位新增设施及其排放详见下表：</w:t>
      </w:r>
    </w:p>
    <w:p>
      <w:pPr>
        <w:spacing w:after="0" w:line="560" w:lineRule="exact"/>
        <w:ind w:firstLine="465"/>
        <w:jc w:val="center"/>
        <w:rPr>
          <w:rFonts w:ascii="Times New Roman" w:hAnsi="Times New Roman" w:eastAsia="仿宋_GB2312"/>
          <w:sz w:val="28"/>
          <w:szCs w:val="28"/>
        </w:rPr>
      </w:pPr>
      <w:r>
        <w:rPr>
          <w:rFonts w:ascii="Times New Roman" w:hAnsi="Times New Roman" w:eastAsia="仿宋_GB2312"/>
          <w:sz w:val="28"/>
          <w:szCs w:val="28"/>
        </w:rPr>
        <w:t>表xx   新增设施信息表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206"/>
        <w:gridCol w:w="2259"/>
        <w:gridCol w:w="1808"/>
        <w:gridCol w:w="1540"/>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666"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设施新增年份</w:t>
            </w:r>
          </w:p>
        </w:tc>
        <w:tc>
          <w:tcPr>
            <w:tcW w:w="1247"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新增设施类型</w:t>
            </w:r>
          </w:p>
        </w:tc>
        <w:tc>
          <w:tcPr>
            <w:tcW w:w="998"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是否替代既有设施，被替代既有设施类型</w:t>
            </w:r>
          </w:p>
        </w:tc>
        <w:tc>
          <w:tcPr>
            <w:tcW w:w="850" w:type="pct"/>
            <w:vAlign w:val="center"/>
          </w:tcPr>
          <w:p>
            <w:pPr>
              <w:tabs>
                <w:tab w:val="left" w:pos="1701"/>
              </w:tabs>
              <w:jc w:val="center"/>
              <w:rPr>
                <w:rFonts w:ascii="Times New Roman" w:hAnsi="Times New Roman" w:eastAsia="仿宋_GB2312"/>
                <w:color w:val="000000"/>
                <w:sz w:val="24"/>
              </w:rPr>
            </w:pPr>
            <w:r>
              <w:rPr>
                <w:rFonts w:ascii="Times New Roman" w:hAnsi="Times New Roman" w:eastAsia="仿宋_GB2312"/>
                <w:color w:val="000000"/>
                <w:sz w:val="24"/>
              </w:rPr>
              <w:t>新增设施排放量（吨）</w:t>
            </w:r>
          </w:p>
        </w:tc>
        <w:tc>
          <w:tcPr>
            <w:tcW w:w="759" w:type="pct"/>
            <w:vAlign w:val="center"/>
          </w:tcPr>
          <w:p>
            <w:pPr>
              <w:tabs>
                <w:tab w:val="left" w:pos="1701"/>
              </w:tabs>
              <w:jc w:val="center"/>
              <w:rPr>
                <w:rFonts w:ascii="Times New Roman" w:hAnsi="Times New Roman" w:eastAsia="仿宋_GB2312"/>
                <w:color w:val="000000"/>
                <w:sz w:val="24"/>
              </w:rPr>
            </w:pPr>
            <w:r>
              <w:rPr>
                <w:rFonts w:hint="eastAsia" w:ascii="Times New Roman" w:hAnsi="Times New Roman" w:eastAsia="仿宋_GB2312"/>
                <w:color w:val="000000"/>
                <w:sz w:val="24"/>
              </w:rPr>
              <w:t>替代既有设施的新增排放量(吨)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Align w:val="center"/>
          </w:tcPr>
          <w:p>
            <w:pPr>
              <w:jc w:val="center"/>
              <w:rPr>
                <w:rFonts w:ascii="Times New Roman" w:hAnsi="Times New Roman" w:eastAsia="仿宋_GB2312"/>
                <w:sz w:val="24"/>
              </w:rPr>
            </w:pPr>
            <w:r>
              <w:rPr>
                <w:rFonts w:ascii="Times New Roman" w:hAnsi="Times New Roman" w:eastAsia="仿宋_GB2312"/>
                <w:color w:val="000000"/>
                <w:sz w:val="24"/>
              </w:rPr>
              <w:t>1</w:t>
            </w:r>
          </w:p>
        </w:tc>
        <w:tc>
          <w:tcPr>
            <w:tcW w:w="666" w:type="pct"/>
            <w:vAlign w:val="center"/>
          </w:tcPr>
          <w:p>
            <w:pPr>
              <w:jc w:val="center"/>
              <w:rPr>
                <w:rFonts w:ascii="Times New Roman" w:hAnsi="Times New Roman" w:eastAsia="仿宋_GB2312"/>
                <w:sz w:val="24"/>
              </w:rPr>
            </w:pPr>
            <w:r>
              <w:rPr>
                <w:rFonts w:ascii="Times New Roman" w:hAnsi="Times New Roman" w:eastAsia="仿宋_GB2312"/>
                <w:sz w:val="24"/>
              </w:rPr>
              <w:t>2019</w:t>
            </w:r>
          </w:p>
        </w:tc>
        <w:tc>
          <w:tcPr>
            <w:tcW w:w="1247" w:type="pct"/>
            <w:vAlign w:val="center"/>
          </w:tcPr>
          <w:p>
            <w:pPr>
              <w:jc w:val="center"/>
              <w:rPr>
                <w:rFonts w:ascii="Times New Roman" w:hAnsi="Times New Roman" w:eastAsia="仿宋_GB2312"/>
                <w:sz w:val="24"/>
              </w:rPr>
            </w:pPr>
            <w:r>
              <w:rPr>
                <w:rFonts w:ascii="Times New Roman" w:hAnsi="Times New Roman" w:eastAsia="仿宋_GB2312"/>
                <w:sz w:val="24"/>
              </w:rPr>
              <w:t>xx发展中心设施</w:t>
            </w:r>
          </w:p>
        </w:tc>
        <w:tc>
          <w:tcPr>
            <w:tcW w:w="998" w:type="pc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850" w:type="pct"/>
            <w:vAlign w:val="center"/>
          </w:tcPr>
          <w:p>
            <w:pPr>
              <w:jc w:val="center"/>
              <w:rPr>
                <w:rFonts w:ascii="Times New Roman" w:hAnsi="Times New Roman" w:eastAsia="仿宋_GB2312"/>
                <w:sz w:val="24"/>
              </w:rPr>
            </w:pPr>
            <w:r>
              <w:rPr>
                <w:rFonts w:ascii="Times New Roman" w:hAnsi="Times New Roman" w:eastAsia="仿宋_GB2312"/>
                <w:sz w:val="24"/>
              </w:rPr>
              <w:t>2006.10</w:t>
            </w:r>
          </w:p>
        </w:tc>
        <w:tc>
          <w:tcPr>
            <w:tcW w:w="759" w:type="pct"/>
            <w:vAlign w:val="center"/>
          </w:tcPr>
          <w:p>
            <w:pPr>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Align w:val="center"/>
          </w:tcPr>
          <w:p>
            <w:pPr>
              <w:jc w:val="center"/>
              <w:rPr>
                <w:rFonts w:ascii="Times New Roman" w:hAnsi="Times New Roman" w:eastAsia="仿宋_GB2312"/>
                <w:color w:val="000000"/>
                <w:sz w:val="24"/>
              </w:rPr>
            </w:pPr>
            <w:r>
              <w:rPr>
                <w:rFonts w:hint="eastAsia" w:ascii="Times New Roman" w:hAnsi="Times New Roman" w:eastAsia="仿宋_GB2312"/>
                <w:color w:val="000000"/>
                <w:sz w:val="24"/>
              </w:rPr>
              <w:t>2</w:t>
            </w:r>
          </w:p>
        </w:tc>
        <w:tc>
          <w:tcPr>
            <w:tcW w:w="666" w:type="pct"/>
            <w:vAlign w:val="center"/>
          </w:tcPr>
          <w:p>
            <w:pPr>
              <w:jc w:val="center"/>
              <w:rPr>
                <w:rFonts w:ascii="Times New Roman" w:hAnsi="Times New Roman" w:eastAsia="仿宋_GB2312"/>
                <w:sz w:val="24"/>
              </w:rPr>
            </w:pPr>
            <w:r>
              <w:rPr>
                <w:rFonts w:hint="eastAsia" w:ascii="Times New Roman" w:hAnsi="Times New Roman" w:eastAsia="仿宋_GB2312"/>
                <w:sz w:val="24"/>
              </w:rPr>
              <w:t>2</w:t>
            </w:r>
            <w:r>
              <w:rPr>
                <w:rFonts w:ascii="Times New Roman" w:hAnsi="Times New Roman" w:eastAsia="仿宋_GB2312"/>
                <w:sz w:val="24"/>
              </w:rPr>
              <w:t>020</w:t>
            </w:r>
          </w:p>
        </w:tc>
        <w:tc>
          <w:tcPr>
            <w:tcW w:w="1247" w:type="pct"/>
          </w:tcPr>
          <w:p>
            <w:pPr>
              <w:jc w:val="center"/>
              <w:rPr>
                <w:rFonts w:ascii="Times New Roman" w:hAnsi="Times New Roman" w:eastAsia="仿宋_GB2312"/>
                <w:sz w:val="24"/>
              </w:rPr>
            </w:pPr>
            <w:r>
              <w:rPr>
                <w:rFonts w:hint="eastAsia"/>
              </w:rPr>
              <w:t>xx发展中心设施</w:t>
            </w:r>
          </w:p>
        </w:tc>
        <w:tc>
          <w:tcPr>
            <w:tcW w:w="998" w:type="pct"/>
          </w:tcPr>
          <w:p>
            <w:pPr>
              <w:jc w:val="center"/>
              <w:rPr>
                <w:rFonts w:ascii="Times New Roman" w:hAnsi="Times New Roman" w:eastAsia="仿宋_GB2312"/>
                <w:sz w:val="24"/>
              </w:rPr>
            </w:pPr>
            <w:r>
              <w:rPr>
                <w:rFonts w:hint="eastAsia"/>
              </w:rPr>
              <w:t>否</w:t>
            </w:r>
          </w:p>
        </w:tc>
        <w:tc>
          <w:tcPr>
            <w:tcW w:w="850" w:type="pct"/>
            <w:vAlign w:val="center"/>
          </w:tcPr>
          <w:p>
            <w:pPr>
              <w:jc w:val="center"/>
              <w:rPr>
                <w:rFonts w:ascii="Times New Roman" w:hAnsi="Times New Roman" w:eastAsia="仿宋_GB2312"/>
                <w:sz w:val="24"/>
              </w:rPr>
            </w:pPr>
            <w:r>
              <w:rPr>
                <w:rFonts w:hint="eastAsia" w:ascii="Times New Roman" w:hAnsi="Times New Roman" w:eastAsia="仿宋_GB2312"/>
                <w:sz w:val="24"/>
              </w:rPr>
              <w:t>X</w:t>
            </w:r>
            <w:r>
              <w:rPr>
                <w:rFonts w:ascii="Times New Roman" w:hAnsi="Times New Roman" w:eastAsia="仿宋_GB2312"/>
                <w:sz w:val="24"/>
              </w:rPr>
              <w:t>XX</w:t>
            </w:r>
          </w:p>
        </w:tc>
        <w:tc>
          <w:tcPr>
            <w:tcW w:w="759" w:type="pct"/>
            <w:vAlign w:val="center"/>
          </w:tcPr>
          <w:p>
            <w:pPr>
              <w:jc w:val="center"/>
              <w:rPr>
                <w:rFonts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0" w:type="pct"/>
            <w:vAlign w:val="center"/>
          </w:tcPr>
          <w:p>
            <w:pPr>
              <w:jc w:val="center"/>
              <w:rPr>
                <w:rFonts w:ascii="Times New Roman" w:hAnsi="Times New Roman" w:eastAsia="仿宋_GB2312"/>
                <w:sz w:val="24"/>
              </w:rPr>
            </w:pPr>
            <w:r>
              <w:rPr>
                <w:rFonts w:ascii="Times New Roman" w:hAnsi="Times New Roman" w:eastAsia="仿宋_GB2312"/>
                <w:color w:val="000000"/>
                <w:sz w:val="24"/>
              </w:rPr>
              <w:t>合计</w:t>
            </w:r>
          </w:p>
        </w:tc>
        <w:tc>
          <w:tcPr>
            <w:tcW w:w="666" w:type="pct"/>
            <w:vAlign w:val="center"/>
          </w:tcPr>
          <w:p>
            <w:pPr>
              <w:jc w:val="center"/>
              <w:rPr>
                <w:rFonts w:ascii="Times New Roman" w:hAnsi="Times New Roman" w:eastAsia="仿宋_GB2312"/>
                <w:sz w:val="24"/>
              </w:rPr>
            </w:pPr>
          </w:p>
        </w:tc>
        <w:tc>
          <w:tcPr>
            <w:tcW w:w="1247" w:type="pct"/>
            <w:vAlign w:val="center"/>
          </w:tcPr>
          <w:p>
            <w:pPr>
              <w:jc w:val="center"/>
              <w:rPr>
                <w:rFonts w:ascii="Times New Roman" w:hAnsi="Times New Roman" w:eastAsia="仿宋_GB2312"/>
                <w:sz w:val="24"/>
              </w:rPr>
            </w:pPr>
          </w:p>
        </w:tc>
        <w:tc>
          <w:tcPr>
            <w:tcW w:w="998" w:type="pct"/>
            <w:vAlign w:val="center"/>
          </w:tcPr>
          <w:p>
            <w:pPr>
              <w:jc w:val="center"/>
              <w:rPr>
                <w:rFonts w:ascii="Times New Roman" w:hAnsi="Times New Roman" w:eastAsia="仿宋_GB2312"/>
                <w:sz w:val="24"/>
              </w:rPr>
            </w:pPr>
          </w:p>
        </w:tc>
        <w:tc>
          <w:tcPr>
            <w:tcW w:w="850" w:type="pc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759" w:type="pct"/>
            <w:vAlign w:val="center"/>
          </w:tcPr>
          <w:p>
            <w:pPr>
              <w:jc w:val="center"/>
              <w:rPr>
                <w:rFonts w:ascii="Times New Roman" w:hAnsi="Times New Roman" w:eastAsia="仿宋_GB2312"/>
                <w:sz w:val="24"/>
              </w:rPr>
            </w:pPr>
            <w:r>
              <w:rPr>
                <w:rFonts w:ascii="Times New Roman" w:hAnsi="Times New Roman" w:eastAsia="仿宋_GB2312"/>
                <w:sz w:val="24"/>
              </w:rPr>
              <w:t>/</w:t>
            </w:r>
          </w:p>
        </w:tc>
      </w:tr>
    </w:tbl>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排放单位2020年新增设施导致的总排放量为XXX吨，是基准年排放量的XXX%，新增服务范围xx发展中心建筑面积（不含地下车库）xxxx平方米，地下车库面积xxxx平方米，实际物业管理面积xxxx平方米，</w:t>
      </w:r>
      <w:r>
        <w:rPr>
          <w:rFonts w:hint="eastAsia" w:ascii="Times New Roman" w:hAnsi="Times New Roman" w:eastAsia="仿宋_GB2312"/>
          <w:sz w:val="32"/>
          <w:szCs w:val="32"/>
        </w:rPr>
        <w:t>新增服务范围对应的</w:t>
      </w:r>
      <w:r>
        <w:rPr>
          <w:rFonts w:ascii="Times New Roman" w:hAnsi="Times New Roman" w:eastAsia="仿宋_GB2312"/>
          <w:sz w:val="32"/>
          <w:szCs w:val="32"/>
        </w:rPr>
        <w:t>产值为xxx万元</w:t>
      </w:r>
      <w:r>
        <w:rPr>
          <w:rFonts w:hint="eastAsia" w:ascii="Times New Roman" w:hAnsi="Times New Roman" w:eastAsia="仿宋_GB2312"/>
          <w:sz w:val="32"/>
          <w:szCs w:val="32"/>
        </w:rPr>
        <w:t>（其中物业管理费xx万元，采暖制冷费用xx万元，物业经营收入xx万元，增值服务费xx万元），入驻率为xx%</w:t>
      </w:r>
      <w:r>
        <w:rPr>
          <w:rFonts w:ascii="Times New Roman" w:hAnsi="Times New Roman" w:eastAsia="仿宋_GB2312"/>
          <w:sz w:val="32"/>
          <w:szCs w:val="32"/>
        </w:rPr>
        <w:t>。此信息供新增设施发放配额参考。</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 核查过程未覆盖的问题描述</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由于天然气表和电表分别为燃气公司及电力公司管控，因此未能核查这些仪表的检定信息。</w:t>
      </w:r>
    </w:p>
    <w:p>
      <w:pPr>
        <w:spacing w:after="0" w:line="560" w:lineRule="exact"/>
        <w:ind w:right="-198" w:rightChars="-90" w:firstLine="640" w:firstLineChars="200"/>
        <w:rPr>
          <w:rFonts w:ascii="Times New Roman" w:hAnsi="Times New Roman" w:eastAsia="仿宋_GB2312"/>
          <w:sz w:val="32"/>
          <w:szCs w:val="32"/>
        </w:rPr>
        <w:sectPr>
          <w:pgSz w:w="11906" w:h="16838"/>
          <w:pgMar w:top="2098" w:right="1474" w:bottom="1984" w:left="1587" w:header="851" w:footer="1587" w:gutter="0"/>
          <w:paperSrc/>
          <w:pgNumType w:fmt="decimal"/>
          <w:cols w:space="0" w:num="1"/>
          <w:rtlGutter w:val="0"/>
          <w:docGrid w:type="lines" w:linePitch="312" w:charSpace="0"/>
        </w:sectPr>
      </w:pPr>
      <w:r>
        <w:rPr>
          <w:rFonts w:ascii="Times New Roman" w:hAnsi="Times New Roman" w:eastAsia="仿宋_GB2312"/>
          <w:sz w:val="32"/>
          <w:szCs w:val="32"/>
        </w:rPr>
        <w:t>历史核查时，对于排放单位服务的</w:t>
      </w:r>
      <w:r>
        <w:rPr>
          <w:rFonts w:hint="eastAsia" w:ascii="Times New Roman" w:hAnsi="Times New Roman" w:eastAsia="仿宋_GB2312"/>
          <w:sz w:val="32"/>
          <w:szCs w:val="32"/>
        </w:rPr>
        <w:t>商业</w:t>
      </w:r>
      <w:r>
        <w:rPr>
          <w:rFonts w:ascii="Times New Roman" w:hAnsi="Times New Roman" w:eastAsia="仿宋_GB2312"/>
          <w:sz w:val="32"/>
          <w:szCs w:val="32"/>
        </w:rPr>
        <w:t>写字楼内的租户（非重点排放单位）消耗的电力予以了扣减，因此本次核查与历史核查边界保持一致，对</w:t>
      </w:r>
      <w:r>
        <w:rPr>
          <w:rFonts w:hint="eastAsia" w:ascii="Times New Roman" w:hAnsi="Times New Roman" w:eastAsia="仿宋_GB2312"/>
          <w:sz w:val="32"/>
          <w:szCs w:val="32"/>
        </w:rPr>
        <w:t>商业</w:t>
      </w:r>
      <w:r>
        <w:rPr>
          <w:rFonts w:ascii="Times New Roman" w:hAnsi="Times New Roman" w:eastAsia="仿宋_GB2312"/>
          <w:sz w:val="32"/>
          <w:szCs w:val="32"/>
        </w:rPr>
        <w:t>写字楼内的租户也予以了扣减。</w:t>
      </w:r>
    </w:p>
    <w:p>
      <w:pPr>
        <w:pStyle w:val="4"/>
        <w:spacing w:before="0" w:after="0" w:line="56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其他行业企业</w:t>
      </w:r>
    </w:p>
    <w:p>
      <w:pPr>
        <w:spacing w:after="0" w:line="560" w:lineRule="exact"/>
        <w:rPr>
          <w:rFonts w:ascii="Times New Roman" w:hAnsi="Times New Roman" w:eastAsia="仿宋_GB2312"/>
          <w:sz w:val="32"/>
          <w:szCs w:val="32"/>
        </w:rPr>
      </w:pPr>
      <w:r>
        <w:rPr>
          <w:rFonts w:ascii="Times New Roman" w:hAnsi="Times New Roman" w:eastAsia="仿宋_GB2312"/>
          <w:sz w:val="32"/>
          <w:szCs w:val="32"/>
        </w:rPr>
        <w:t>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
          <w:sz w:val="32"/>
          <w:szCs w:val="32"/>
        </w:rPr>
        <w:t>xxxx公司（以下简称排放单位）委托xxx公司开展XXXX年</w:t>
      </w:r>
      <w:r>
        <w:rPr>
          <w:rFonts w:ascii="Times New Roman" w:hAnsi="Times New Roman" w:eastAsia="仿宋_GB2312"/>
          <w:sz w:val="32"/>
          <w:szCs w:val="32"/>
        </w:rPr>
        <w:t>二氧化碳排放的核查工作。核查范围包括排放单位所有在北京市辖区内的固定设施导致的二氧化碳直接排放和二氧化碳间接排放。</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通过文件评审、现场访问、核查报告编写及内部技术复核，核查组对排放单位XXXX年度二氧化碳排放报告形成如下核查结论：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 核算、报告与方法学的符合性</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核查组确认所有不符合已全部关闭，排放单位的核算与报告均符合方法学</w:t>
      </w:r>
      <w:r>
        <w:rPr>
          <w:rFonts w:hint="eastAsia" w:ascii="Times New Roman" w:hAnsi="Times New Roman" w:eastAsia="仿宋_GB2312"/>
          <w:sz w:val="32"/>
          <w:szCs w:val="32"/>
        </w:rPr>
        <w:t>《二氧化碳排放核算和报告要求其他行业》（DB11/T 1787-2020）</w:t>
      </w:r>
      <w:r>
        <w:rPr>
          <w:rFonts w:ascii="Times New Roman" w:hAnsi="Times New Roman" w:eastAsia="仿宋_GB2312"/>
          <w:sz w:val="32"/>
          <w:szCs w:val="32"/>
        </w:rPr>
        <w:t>的要求，核查组对本排放报告出具肯定的核查结论。</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 本年度排放量及活动水平数据的声明</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经核查的直接和间接排放量与最终排放报告中的一</w:t>
      </w:r>
      <w:r>
        <w:rPr>
          <w:rFonts w:hint="eastAsia" w:ascii="Times New Roman" w:hAnsi="Times New Roman" w:eastAsia="仿宋_GB2312"/>
          <w:sz w:val="32"/>
          <w:szCs w:val="32"/>
        </w:rPr>
        <w:t>致。经核查的直接排放量为</w:t>
      </w:r>
      <w:r>
        <w:rPr>
          <w:rFonts w:ascii="Times New Roman" w:hAnsi="Times New Roman" w:eastAsia="仿宋_GB2312"/>
          <w:sz w:val="32"/>
          <w:szCs w:val="32"/>
        </w:rPr>
        <w:t>4306.14</w:t>
      </w:r>
      <w:r>
        <w:rPr>
          <w:rFonts w:hint="eastAsia" w:ascii="Times New Roman" w:hAnsi="Times New Roman" w:eastAsia="仿宋_GB2312"/>
          <w:sz w:val="32"/>
          <w:szCs w:val="32"/>
        </w:rPr>
        <w:t>吨，间接排放量为</w:t>
      </w:r>
      <w:r>
        <w:rPr>
          <w:rFonts w:ascii="Times New Roman" w:hAnsi="Times New Roman" w:eastAsia="仿宋_GB2312"/>
          <w:sz w:val="32"/>
          <w:szCs w:val="32"/>
        </w:rPr>
        <w:t>5567.87</w:t>
      </w:r>
      <w:r>
        <w:rPr>
          <w:rFonts w:hint="eastAsia" w:ascii="Times New Roman" w:hAnsi="Times New Roman" w:eastAsia="仿宋_GB2312"/>
          <w:sz w:val="32"/>
          <w:szCs w:val="32"/>
        </w:rPr>
        <w:t>吨，总排放量为</w:t>
      </w:r>
      <w:r>
        <w:rPr>
          <w:rFonts w:ascii="Times New Roman" w:hAnsi="Times New Roman" w:eastAsia="仿宋_GB2312"/>
          <w:sz w:val="32"/>
          <w:szCs w:val="32"/>
        </w:rPr>
        <w:t>9874.01</w:t>
      </w:r>
      <w:r>
        <w:rPr>
          <w:rFonts w:hint="eastAsia" w:ascii="Times New Roman" w:hAnsi="Times New Roman" w:eastAsia="仿宋_GB2312"/>
          <w:sz w:val="32"/>
          <w:szCs w:val="32"/>
        </w:rPr>
        <w:t>吨。</w:t>
      </w:r>
    </w:p>
    <w:p>
      <w:pPr>
        <w:spacing w:after="0" w:line="56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经核查的产品产量、产值与最终排放报告数据一致。经核查的</w:t>
      </w:r>
      <w:r>
        <w:rPr>
          <w:rFonts w:ascii="Times New Roman" w:hAnsi="Times New Roman" w:eastAsia="仿宋_GB2312"/>
          <w:sz w:val="32"/>
          <w:szCs w:val="32"/>
        </w:rPr>
        <w:t>xx</w:t>
      </w:r>
      <w:r>
        <w:rPr>
          <w:rFonts w:hint="eastAsia" w:ascii="Times New Roman" w:hAnsi="Times New Roman" w:eastAsia="仿宋_GB2312"/>
          <w:sz w:val="32"/>
          <w:szCs w:val="32"/>
        </w:rPr>
        <w:t>产品产量为</w:t>
      </w:r>
      <w:r>
        <w:rPr>
          <w:rFonts w:ascii="Times New Roman" w:hAnsi="Times New Roman" w:eastAsia="仿宋_GB2312"/>
          <w:sz w:val="32"/>
          <w:szCs w:val="32"/>
        </w:rPr>
        <w:t>xxx</w:t>
      </w:r>
      <w:r>
        <w:rPr>
          <w:rFonts w:hint="eastAsia" w:ascii="Times New Roman" w:hAnsi="Times New Roman" w:eastAsia="仿宋_GB2312"/>
          <w:sz w:val="32"/>
          <w:szCs w:val="32"/>
        </w:rPr>
        <w:t>吨，产值数据为</w:t>
      </w:r>
      <w:r>
        <w:rPr>
          <w:rFonts w:ascii="Times New Roman" w:hAnsi="Times New Roman" w:eastAsia="仿宋_GB2312"/>
          <w:sz w:val="32"/>
          <w:szCs w:val="32"/>
        </w:rPr>
        <w:t>xxxx</w:t>
      </w:r>
      <w:r>
        <w:rPr>
          <w:rFonts w:hint="eastAsia" w:ascii="Times New Roman" w:hAnsi="Times New Roman" w:eastAsia="仿宋_GB2312"/>
          <w:sz w:val="32"/>
          <w:szCs w:val="32"/>
        </w:rPr>
        <w:t>万元。</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 xml:space="preserve">3. </w:t>
      </w:r>
      <w:r>
        <w:rPr>
          <w:rFonts w:hint="eastAsia" w:ascii="Times New Roman" w:hAnsi="Times New Roman" w:eastAsia="仿宋_GB2312"/>
          <w:sz w:val="32"/>
          <w:szCs w:val="32"/>
        </w:rPr>
        <w:t>年度排放量及活动水平波动的原因说明</w:t>
      </w:r>
    </w:p>
    <w:p>
      <w:pPr>
        <w:spacing w:after="0" w:line="56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本年度排放量与上一年度排放量相比增加了</w:t>
      </w:r>
      <w:r>
        <w:rPr>
          <w:rFonts w:ascii="Times New Roman" w:hAnsi="Times New Roman" w:eastAsia="仿宋_GB2312"/>
          <w:sz w:val="32"/>
          <w:szCs w:val="32"/>
        </w:rPr>
        <w:t>1812.43</w:t>
      </w:r>
      <w:r>
        <w:rPr>
          <w:rFonts w:hint="eastAsia" w:ascii="Times New Roman" w:hAnsi="Times New Roman" w:eastAsia="仿宋_GB2312"/>
          <w:sz w:val="32"/>
          <w:szCs w:val="32"/>
        </w:rPr>
        <w:t>吨</w:t>
      </w:r>
      <w:r>
        <w:rPr>
          <w:rFonts w:ascii="Times New Roman" w:hAnsi="Times New Roman" w:eastAsia="仿宋_GB2312"/>
          <w:sz w:val="32"/>
          <w:szCs w:val="32"/>
        </w:rPr>
        <w:t>/22.48%</w:t>
      </w:r>
      <w:r>
        <w:rPr>
          <w:rFonts w:hint="eastAsia" w:ascii="Times New Roman" w:hAnsi="Times New Roman" w:eastAsia="仿宋_GB2312"/>
          <w:sz w:val="32"/>
          <w:szCs w:val="32"/>
        </w:rPr>
        <w:t>，其中，直接排放量增加了</w:t>
      </w:r>
      <w:r>
        <w:rPr>
          <w:rFonts w:ascii="Times New Roman" w:hAnsi="Times New Roman" w:eastAsia="仿宋_GB2312"/>
          <w:sz w:val="32"/>
          <w:szCs w:val="32"/>
        </w:rPr>
        <w:t>648.81</w:t>
      </w:r>
      <w:r>
        <w:rPr>
          <w:rFonts w:hint="eastAsia" w:ascii="Times New Roman" w:hAnsi="Times New Roman" w:eastAsia="仿宋_GB2312"/>
          <w:sz w:val="32"/>
          <w:szCs w:val="32"/>
        </w:rPr>
        <w:t>吨</w:t>
      </w:r>
      <w:r>
        <w:rPr>
          <w:rFonts w:ascii="Times New Roman" w:hAnsi="Times New Roman" w:eastAsia="仿宋_GB2312"/>
          <w:sz w:val="32"/>
          <w:szCs w:val="32"/>
        </w:rPr>
        <w:t>/17.74%</w:t>
      </w:r>
      <w:r>
        <w:rPr>
          <w:rFonts w:hint="eastAsia" w:ascii="Times New Roman" w:hAnsi="Times New Roman" w:eastAsia="仿宋_GB2312"/>
          <w:sz w:val="32"/>
          <w:szCs w:val="32"/>
        </w:rPr>
        <w:t>，间接排放量增加了</w:t>
      </w:r>
      <w:r>
        <w:rPr>
          <w:rFonts w:ascii="Times New Roman" w:hAnsi="Times New Roman" w:eastAsia="仿宋_GB2312"/>
          <w:sz w:val="32"/>
          <w:szCs w:val="32"/>
        </w:rPr>
        <w:t>1163.61</w:t>
      </w:r>
      <w:r>
        <w:rPr>
          <w:rFonts w:hint="eastAsia" w:ascii="Times New Roman" w:hAnsi="Times New Roman" w:eastAsia="仿宋_GB2312"/>
          <w:sz w:val="32"/>
          <w:szCs w:val="32"/>
        </w:rPr>
        <w:t>吨</w:t>
      </w:r>
      <w:r>
        <w:rPr>
          <w:rFonts w:ascii="Times New Roman" w:hAnsi="Times New Roman" w:eastAsia="仿宋_GB2312"/>
          <w:sz w:val="32"/>
          <w:szCs w:val="32"/>
        </w:rPr>
        <w:t>/26.42%</w:t>
      </w:r>
      <w:r>
        <w:rPr>
          <w:rFonts w:hint="eastAsia" w:ascii="Times New Roman" w:hAnsi="Times New Roman" w:eastAsia="仿宋_GB2312"/>
          <w:sz w:val="32"/>
          <w:szCs w:val="32"/>
        </w:rPr>
        <w:t>。经与排放单位确认，排放单位为提高</w:t>
      </w:r>
      <w:r>
        <w:rPr>
          <w:rFonts w:ascii="Times New Roman" w:hAnsi="Times New Roman" w:eastAsia="仿宋_GB2312"/>
          <w:sz w:val="32"/>
          <w:szCs w:val="32"/>
        </w:rPr>
        <w:t>产能，</w:t>
      </w:r>
      <w:r>
        <w:rPr>
          <w:rFonts w:hint="eastAsia" w:ascii="Times New Roman" w:hAnsi="Times New Roman" w:eastAsia="仿宋_GB2312"/>
          <w:sz w:val="32"/>
          <w:szCs w:val="32"/>
        </w:rPr>
        <w:t>增加了原料处理量</w:t>
      </w:r>
      <w:r>
        <w:rPr>
          <w:rFonts w:ascii="Times New Roman" w:hAnsi="Times New Roman" w:eastAsia="仿宋_GB2312"/>
          <w:sz w:val="32"/>
          <w:szCs w:val="32"/>
        </w:rPr>
        <w:t>，导致2019年天然气消耗上升直接排放量增加；2019年新增了一</w:t>
      </w:r>
      <w:r>
        <w:rPr>
          <w:rFonts w:hint="eastAsia" w:ascii="Times New Roman" w:hAnsi="Times New Roman" w:eastAsia="仿宋_GB2312"/>
          <w:sz w:val="32"/>
          <w:szCs w:val="32"/>
        </w:rPr>
        <w:t>套xxxx</w:t>
      </w:r>
      <w:r>
        <w:rPr>
          <w:rFonts w:ascii="Times New Roman" w:hAnsi="Times New Roman" w:eastAsia="仿宋_GB2312"/>
          <w:sz w:val="32"/>
          <w:szCs w:val="32"/>
        </w:rPr>
        <w:t>生产设备，电力消耗量增加导致间接排放量增加。</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2020年度排放量与历史基准年份排放量相比增加了1812.42吨/22.48%。排放量增加的主要原因为排放单位增加</w:t>
      </w:r>
      <w:r>
        <w:rPr>
          <w:rFonts w:hint="eastAsia" w:ascii="Times New Roman" w:hAnsi="Times New Roman" w:eastAsia="仿宋_GB2312"/>
          <w:sz w:val="32"/>
          <w:szCs w:val="32"/>
        </w:rPr>
        <w:t>了原料处理量</w:t>
      </w:r>
      <w:r>
        <w:rPr>
          <w:rFonts w:ascii="Times New Roman" w:hAnsi="Times New Roman" w:eastAsia="仿宋_GB2312"/>
          <w:sz w:val="32"/>
          <w:szCs w:val="32"/>
        </w:rPr>
        <w:t>且新增加了一</w:t>
      </w:r>
      <w:r>
        <w:rPr>
          <w:rFonts w:hint="eastAsia" w:ascii="Times New Roman" w:hAnsi="Times New Roman" w:eastAsia="仿宋_GB2312"/>
          <w:sz w:val="32"/>
          <w:szCs w:val="32"/>
        </w:rPr>
        <w:t>套xxxx</w:t>
      </w:r>
      <w:r>
        <w:rPr>
          <w:rFonts w:ascii="Times New Roman" w:hAnsi="Times New Roman" w:eastAsia="仿宋_GB2312"/>
          <w:sz w:val="32"/>
          <w:szCs w:val="32"/>
        </w:rPr>
        <w:t>生产设备，导致排放量上升。</w:t>
      </w:r>
    </w:p>
    <w:p>
      <w:pPr>
        <w:spacing w:after="0" w:line="560" w:lineRule="exact"/>
        <w:jc w:val="center"/>
        <w:rPr>
          <w:rFonts w:ascii="Times New Roman" w:hAnsi="Times New Roman" w:eastAsia="仿宋_GB2312"/>
          <w:sz w:val="24"/>
        </w:rPr>
      </w:pPr>
      <w:r>
        <w:rPr>
          <w:rFonts w:ascii="Times New Roman" w:hAnsi="Times New Roman" w:eastAsia="仿宋_GB2312"/>
          <w:sz w:val="24"/>
        </w:rPr>
        <w:t>表XX  排放量汇总表</w:t>
      </w:r>
    </w:p>
    <w:tbl>
      <w:tblPr>
        <w:tblStyle w:val="35"/>
        <w:tblW w:w="4998" w:type="pct"/>
        <w:tblInd w:w="0" w:type="dxa"/>
        <w:tblLayout w:type="autofit"/>
        <w:tblCellMar>
          <w:top w:w="0" w:type="dxa"/>
          <w:left w:w="0" w:type="dxa"/>
          <w:bottom w:w="0" w:type="dxa"/>
          <w:right w:w="0" w:type="dxa"/>
        </w:tblCellMar>
      </w:tblPr>
      <w:tblGrid>
        <w:gridCol w:w="1816"/>
        <w:gridCol w:w="2123"/>
        <w:gridCol w:w="2579"/>
        <w:gridCol w:w="2343"/>
      </w:tblGrid>
      <w:tr>
        <w:tblPrEx>
          <w:tblCellMar>
            <w:top w:w="0" w:type="dxa"/>
            <w:left w:w="0" w:type="dxa"/>
            <w:bottom w:w="0" w:type="dxa"/>
            <w:right w:w="0" w:type="dxa"/>
          </w:tblCellMar>
        </w:tblPrEx>
        <w:trPr>
          <w:trHeight w:val="737" w:hRule="atLeast"/>
        </w:trPr>
        <w:tc>
          <w:tcPr>
            <w:tcW w:w="1025" w:type="pct"/>
            <w:tcBorders>
              <w:top w:val="single" w:color="000000" w:sz="8" w:space="0"/>
              <w:left w:val="single" w:color="000000" w:sz="8" w:space="0"/>
              <w:bottom w:val="single" w:color="000000" w:sz="8" w:space="0"/>
              <w:right w:val="single" w:color="000000" w:sz="8" w:space="0"/>
            </w:tcBorders>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年度</w:t>
            </w:r>
          </w:p>
        </w:tc>
        <w:tc>
          <w:tcPr>
            <w:tcW w:w="1198" w:type="pct"/>
            <w:tcBorders>
              <w:top w:val="single" w:color="000000" w:sz="8" w:space="0"/>
              <w:left w:val="nil"/>
              <w:bottom w:val="single" w:color="000000" w:sz="8" w:space="0"/>
              <w:right w:val="single" w:color="000000" w:sz="8" w:space="0"/>
            </w:tcBorders>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直接排放量（tCO2）</w:t>
            </w:r>
          </w:p>
        </w:tc>
        <w:tc>
          <w:tcPr>
            <w:tcW w:w="1455" w:type="pct"/>
            <w:tcBorders>
              <w:top w:val="single" w:color="000000" w:sz="8" w:space="0"/>
              <w:left w:val="nil"/>
              <w:bottom w:val="single" w:color="000000" w:sz="8" w:space="0"/>
              <w:right w:val="single" w:color="000000" w:sz="8" w:space="0"/>
            </w:tcBorders>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间接排放量（tCO2）</w:t>
            </w:r>
          </w:p>
        </w:tc>
        <w:tc>
          <w:tcPr>
            <w:tcW w:w="1322" w:type="pct"/>
            <w:tcBorders>
              <w:top w:val="single" w:color="000000" w:sz="8" w:space="0"/>
              <w:left w:val="nil"/>
              <w:bottom w:val="single" w:color="000000" w:sz="8" w:space="0"/>
              <w:right w:val="single" w:color="000000" w:sz="8" w:space="0"/>
            </w:tcBorders>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排放总量（tCO2）</w:t>
            </w:r>
          </w:p>
        </w:tc>
      </w:tr>
      <w:tr>
        <w:tblPrEx>
          <w:tblCellMar>
            <w:top w:w="0" w:type="dxa"/>
            <w:left w:w="0" w:type="dxa"/>
            <w:bottom w:w="0" w:type="dxa"/>
            <w:right w:w="0" w:type="dxa"/>
          </w:tblCellMar>
        </w:tblPrEx>
        <w:trPr>
          <w:trHeight w:val="330" w:hRule="atLeast"/>
        </w:trPr>
        <w:tc>
          <w:tcPr>
            <w:tcW w:w="1025" w:type="pct"/>
            <w:tcBorders>
              <w:top w:val="nil"/>
              <w:left w:val="single" w:color="000000" w:sz="8" w:space="0"/>
              <w:bottom w:val="single" w:color="000000" w:sz="8" w:space="0"/>
              <w:right w:val="single" w:color="000000" w:sz="8" w:space="0"/>
            </w:tcBorders>
            <w:noWrap/>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2016</w:t>
            </w:r>
          </w:p>
        </w:tc>
        <w:tc>
          <w:tcPr>
            <w:tcW w:w="1198" w:type="pct"/>
            <w:tcBorders>
              <w:top w:val="nil"/>
              <w:left w:val="nil"/>
              <w:bottom w:val="single" w:color="000000" w:sz="8" w:space="0"/>
              <w:right w:val="single" w:color="000000" w:sz="8"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3442.68</w:t>
            </w:r>
          </w:p>
        </w:tc>
        <w:tc>
          <w:tcPr>
            <w:tcW w:w="1455" w:type="pct"/>
            <w:tcBorders>
              <w:top w:val="nil"/>
              <w:left w:val="nil"/>
              <w:bottom w:val="single" w:color="000000" w:sz="8" w:space="0"/>
              <w:right w:val="single" w:color="000000" w:sz="8"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3824.26</w:t>
            </w:r>
          </w:p>
        </w:tc>
        <w:tc>
          <w:tcPr>
            <w:tcW w:w="1322" w:type="pct"/>
            <w:tcBorders>
              <w:top w:val="nil"/>
              <w:left w:val="nil"/>
              <w:bottom w:val="single" w:color="000000" w:sz="8" w:space="0"/>
              <w:right w:val="single" w:color="000000" w:sz="8" w:space="0"/>
            </w:tcBorders>
            <w:tcMar>
              <w:top w:w="10" w:type="dxa"/>
              <w:left w:w="10" w:type="dxa"/>
              <w:right w:w="10" w:type="dxa"/>
            </w:tcMar>
            <w:vAlign w:val="center"/>
          </w:tcPr>
          <w:p>
            <w:pPr>
              <w:jc w:val="center"/>
              <w:rPr>
                <w:rFonts w:ascii="Times New Roman" w:hAnsi="Times New Roman"/>
              </w:rPr>
            </w:pPr>
            <w:r>
              <w:rPr>
                <w:rFonts w:ascii="Times New Roman" w:hAnsi="Times New Roman"/>
              </w:rPr>
              <w:t>7266.93</w:t>
            </w:r>
          </w:p>
        </w:tc>
      </w:tr>
      <w:tr>
        <w:tblPrEx>
          <w:tblCellMar>
            <w:top w:w="0" w:type="dxa"/>
            <w:left w:w="0" w:type="dxa"/>
            <w:bottom w:w="0" w:type="dxa"/>
            <w:right w:w="0" w:type="dxa"/>
          </w:tblCellMar>
        </w:tblPrEx>
        <w:trPr>
          <w:trHeight w:val="330" w:hRule="atLeast"/>
        </w:trPr>
        <w:tc>
          <w:tcPr>
            <w:tcW w:w="1025" w:type="pct"/>
            <w:tcBorders>
              <w:top w:val="nil"/>
              <w:left w:val="single" w:color="000000" w:sz="8" w:space="0"/>
              <w:bottom w:val="single" w:color="auto" w:sz="4" w:space="0"/>
              <w:right w:val="single" w:color="000000" w:sz="8" w:space="0"/>
            </w:tcBorders>
            <w:noWrap/>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2017</w:t>
            </w:r>
          </w:p>
        </w:tc>
        <w:tc>
          <w:tcPr>
            <w:tcW w:w="1198" w:type="pct"/>
            <w:tcBorders>
              <w:top w:val="nil"/>
              <w:left w:val="nil"/>
              <w:bottom w:val="single" w:color="auto" w:sz="4" w:space="0"/>
              <w:right w:val="single" w:color="000000" w:sz="8"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3522.33</w:t>
            </w:r>
          </w:p>
        </w:tc>
        <w:tc>
          <w:tcPr>
            <w:tcW w:w="1455" w:type="pct"/>
            <w:tcBorders>
              <w:top w:val="nil"/>
              <w:left w:val="nil"/>
              <w:bottom w:val="single" w:color="auto" w:sz="4" w:space="0"/>
              <w:right w:val="single" w:color="000000" w:sz="8"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4114.26</w:t>
            </w:r>
          </w:p>
        </w:tc>
        <w:tc>
          <w:tcPr>
            <w:tcW w:w="1322" w:type="pct"/>
            <w:tcBorders>
              <w:top w:val="nil"/>
              <w:left w:val="nil"/>
              <w:bottom w:val="single" w:color="auto" w:sz="4" w:space="0"/>
              <w:right w:val="single" w:color="000000" w:sz="8" w:space="0"/>
            </w:tcBorders>
            <w:tcMar>
              <w:top w:w="10" w:type="dxa"/>
              <w:left w:w="10" w:type="dxa"/>
              <w:right w:w="10" w:type="dxa"/>
            </w:tcMar>
            <w:vAlign w:val="center"/>
          </w:tcPr>
          <w:p>
            <w:pPr>
              <w:jc w:val="center"/>
              <w:rPr>
                <w:rFonts w:ascii="Times New Roman" w:hAnsi="Times New Roman"/>
              </w:rPr>
            </w:pPr>
            <w:r>
              <w:rPr>
                <w:rFonts w:ascii="Times New Roman" w:hAnsi="Times New Roman"/>
              </w:rPr>
              <w:t>7636.58</w:t>
            </w:r>
          </w:p>
        </w:tc>
      </w:tr>
      <w:tr>
        <w:tblPrEx>
          <w:tblCellMar>
            <w:top w:w="0" w:type="dxa"/>
            <w:left w:w="0" w:type="dxa"/>
            <w:bottom w:w="0" w:type="dxa"/>
            <w:right w:w="0" w:type="dxa"/>
          </w:tblCellMar>
        </w:tblPrEx>
        <w:trPr>
          <w:trHeight w:val="330" w:hRule="atLeast"/>
        </w:trPr>
        <w:tc>
          <w:tcPr>
            <w:tcW w:w="1025"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2018</w:t>
            </w:r>
          </w:p>
        </w:tc>
        <w:tc>
          <w:tcPr>
            <w:tcW w:w="1198"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3657.33</w:t>
            </w:r>
          </w:p>
        </w:tc>
        <w:tc>
          <w:tcPr>
            <w:tcW w:w="1455"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4404.26</w:t>
            </w:r>
          </w:p>
        </w:tc>
        <w:tc>
          <w:tcPr>
            <w:tcW w:w="1322" w:type="pc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Times New Roman" w:hAnsi="Times New Roman"/>
              </w:rPr>
            </w:pPr>
            <w:r>
              <w:rPr>
                <w:rFonts w:ascii="Times New Roman" w:hAnsi="Times New Roman"/>
              </w:rPr>
              <w:t>8061.58</w:t>
            </w:r>
          </w:p>
        </w:tc>
      </w:tr>
      <w:tr>
        <w:tblPrEx>
          <w:tblCellMar>
            <w:top w:w="0" w:type="dxa"/>
            <w:left w:w="0" w:type="dxa"/>
            <w:bottom w:w="0" w:type="dxa"/>
            <w:right w:w="0" w:type="dxa"/>
          </w:tblCellMar>
        </w:tblPrEx>
        <w:trPr>
          <w:trHeight w:val="315" w:hRule="atLeast"/>
        </w:trPr>
        <w:tc>
          <w:tcPr>
            <w:tcW w:w="1025"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ascii="Times New Roman" w:hAnsi="Times New Roman" w:eastAsia="仿宋_GB2312"/>
                <w:color w:val="000000"/>
                <w:sz w:val="24"/>
              </w:rPr>
              <w:t>2019</w:t>
            </w:r>
          </w:p>
        </w:tc>
        <w:tc>
          <w:tcPr>
            <w:tcW w:w="1198"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4306.14</w:t>
            </w:r>
          </w:p>
        </w:tc>
        <w:tc>
          <w:tcPr>
            <w:tcW w:w="1455"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rPr>
                <w:rFonts w:ascii="Times New Roman" w:hAnsi="Times New Roman"/>
              </w:rPr>
            </w:pPr>
            <w:bookmarkStart w:id="27" w:name="_Hlk34833377"/>
            <w:r>
              <w:rPr>
                <w:rFonts w:ascii="Times New Roman" w:hAnsi="Times New Roman"/>
              </w:rPr>
              <w:t>5567.87</w:t>
            </w:r>
            <w:bookmarkEnd w:id="27"/>
          </w:p>
        </w:tc>
        <w:tc>
          <w:tcPr>
            <w:tcW w:w="1322" w:type="pc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Times New Roman" w:hAnsi="Times New Roman"/>
              </w:rPr>
            </w:pPr>
            <w:bookmarkStart w:id="28" w:name="_Hlk34833386"/>
            <w:r>
              <w:rPr>
                <w:rFonts w:ascii="Times New Roman" w:hAnsi="Times New Roman"/>
              </w:rPr>
              <w:t>9874.01</w:t>
            </w:r>
            <w:bookmarkEnd w:id="28"/>
          </w:p>
        </w:tc>
      </w:tr>
      <w:tr>
        <w:tblPrEx>
          <w:tblCellMar>
            <w:top w:w="0" w:type="dxa"/>
            <w:left w:w="0" w:type="dxa"/>
            <w:bottom w:w="0" w:type="dxa"/>
            <w:right w:w="0" w:type="dxa"/>
          </w:tblCellMar>
        </w:tblPrEx>
        <w:trPr>
          <w:trHeight w:val="315" w:hRule="atLeast"/>
        </w:trPr>
        <w:tc>
          <w:tcPr>
            <w:tcW w:w="1025"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textAlignment w:val="center"/>
              <w:rPr>
                <w:rFonts w:ascii="Times New Roman" w:hAnsi="Times New Roman" w:eastAsia="仿宋_GB2312"/>
                <w:color w:val="000000"/>
                <w:sz w:val="24"/>
              </w:rPr>
            </w:pPr>
            <w:r>
              <w:rPr>
                <w:rFonts w:hint="eastAsia" w:ascii="Times New Roman" w:hAnsi="Times New Roman" w:eastAsia="仿宋_GB2312"/>
                <w:color w:val="000000"/>
                <w:sz w:val="24"/>
              </w:rPr>
              <w:t>2</w:t>
            </w:r>
            <w:r>
              <w:rPr>
                <w:rFonts w:ascii="Times New Roman" w:hAnsi="Times New Roman" w:eastAsia="仿宋_GB2312"/>
                <w:color w:val="000000"/>
                <w:sz w:val="24"/>
              </w:rPr>
              <w:t>020</w:t>
            </w:r>
          </w:p>
        </w:tc>
        <w:tc>
          <w:tcPr>
            <w:tcW w:w="1198"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4306.14</w:t>
            </w:r>
          </w:p>
        </w:tc>
        <w:tc>
          <w:tcPr>
            <w:tcW w:w="1455" w:type="pc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pPr>
              <w:jc w:val="center"/>
              <w:rPr>
                <w:rFonts w:ascii="Times New Roman" w:hAnsi="Times New Roman"/>
              </w:rPr>
            </w:pPr>
            <w:r>
              <w:rPr>
                <w:rFonts w:ascii="Times New Roman" w:hAnsi="Times New Roman"/>
              </w:rPr>
              <w:t>5567.87</w:t>
            </w:r>
          </w:p>
        </w:tc>
        <w:tc>
          <w:tcPr>
            <w:tcW w:w="1322" w:type="pct"/>
            <w:tcBorders>
              <w:top w:val="single" w:color="auto" w:sz="4" w:space="0"/>
              <w:left w:val="single" w:color="auto" w:sz="4" w:space="0"/>
              <w:bottom w:val="single" w:color="auto" w:sz="4" w:space="0"/>
              <w:right w:val="single" w:color="auto" w:sz="4" w:space="0"/>
            </w:tcBorders>
            <w:tcMar>
              <w:top w:w="10" w:type="dxa"/>
              <w:left w:w="10" w:type="dxa"/>
              <w:right w:w="10" w:type="dxa"/>
            </w:tcMar>
            <w:vAlign w:val="center"/>
          </w:tcPr>
          <w:p>
            <w:pPr>
              <w:jc w:val="center"/>
              <w:rPr>
                <w:rFonts w:ascii="Times New Roman" w:hAnsi="Times New Roman"/>
              </w:rPr>
            </w:pPr>
            <w:r>
              <w:rPr>
                <w:rFonts w:ascii="Times New Roman" w:hAnsi="Times New Roman"/>
              </w:rPr>
              <w:t>9874.01</w:t>
            </w:r>
          </w:p>
        </w:tc>
      </w:tr>
    </w:tbl>
    <w:p>
      <w:pPr>
        <w:jc w:val="center"/>
        <w:rPr>
          <w:rFonts w:ascii="Times New Roman" w:hAnsi="Times New Roman"/>
        </w:rPr>
      </w:pPr>
      <w:r>
        <w:rPr>
          <w:lang w:val="en-US"/>
        </w:rPr>
        <w:drawing>
          <wp:inline distT="0" distB="0" distL="0" distR="0">
            <wp:extent cx="4568825" cy="2740025"/>
            <wp:effectExtent l="0" t="0" r="3175" b="3175"/>
            <wp:docPr id="1" name="图表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pPr>
        <w:spacing w:after="0" w:line="560" w:lineRule="exact"/>
        <w:jc w:val="center"/>
        <w:rPr>
          <w:rFonts w:ascii="Times New Roman" w:hAnsi="Times New Roman" w:eastAsia="仿宋_GB2312"/>
          <w:sz w:val="32"/>
          <w:szCs w:val="32"/>
        </w:rPr>
      </w:pPr>
      <w:r>
        <w:rPr>
          <w:rFonts w:ascii="Times New Roman" w:hAnsi="Times New Roman" w:eastAsia="仿宋_GB2312"/>
          <w:sz w:val="24"/>
        </w:rPr>
        <w:t>图XX  排放量变化趋势图（增加</w:t>
      </w:r>
      <w:r>
        <w:rPr>
          <w:rFonts w:hint="eastAsia" w:ascii="Times New Roman" w:hAnsi="Times New Roman" w:eastAsia="仿宋_GB2312"/>
          <w:sz w:val="24"/>
        </w:rPr>
        <w:t>2</w:t>
      </w:r>
      <w:r>
        <w:rPr>
          <w:rFonts w:ascii="Times New Roman" w:hAnsi="Times New Roman" w:eastAsia="仿宋_GB2312"/>
          <w:sz w:val="24"/>
        </w:rPr>
        <w:t>020年度）</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 核算和报告边界变化</w:t>
      </w:r>
      <w:r>
        <w:rPr>
          <w:rFonts w:hint="eastAsia" w:ascii="Times New Roman" w:hAnsi="Times New Roman" w:eastAsia="仿宋_GB2312"/>
          <w:sz w:val="32"/>
          <w:szCs w:val="32"/>
        </w:rPr>
        <w:t>（含设施变化）</w:t>
      </w:r>
      <w:r>
        <w:rPr>
          <w:rFonts w:ascii="Times New Roman" w:hAnsi="Times New Roman" w:eastAsia="仿宋_GB2312"/>
          <w:sz w:val="32"/>
          <w:szCs w:val="32"/>
        </w:rPr>
        <w:t>情况</w:t>
      </w:r>
    </w:p>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4.1 本年度场所边界的变化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排放单位核算和报告边界为在位于xxx的生产厂区，产品为xxx。与上一年度相比，场所边界无变化；与基准年相比，场所边界无变化。</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4.2 本年度排放设施的变化</w:t>
      </w:r>
    </w:p>
    <w:p>
      <w:pPr>
        <w:spacing w:after="0" w:line="560" w:lineRule="exact"/>
        <w:ind w:firstLine="465"/>
        <w:jc w:val="both"/>
        <w:rPr>
          <w:rFonts w:ascii="Times New Roman" w:hAnsi="Times New Roman" w:eastAsia="仿宋_GB2312"/>
          <w:sz w:val="32"/>
          <w:szCs w:val="32"/>
        </w:rPr>
      </w:pPr>
      <w:r>
        <w:rPr>
          <w:rFonts w:ascii="Times New Roman" w:hAnsi="Times New Roman" w:eastAsia="仿宋_GB2312"/>
          <w:sz w:val="32"/>
          <w:szCs w:val="32"/>
        </w:rPr>
        <w:t>排放单位2018年新建生产车间和厂房（x号楼、x号楼）。新建生产车间设施在2018年调试运行近2个月，投产运行2个月，截止2018年12月底运行时间不足12个月，符合既有设施排放配额调整的申请条件。此信息供既有设施调整配额参考。</w:t>
      </w:r>
    </w:p>
    <w:p>
      <w:pPr>
        <w:spacing w:after="0" w:line="560" w:lineRule="exact"/>
        <w:ind w:firstLine="465"/>
        <w:rPr>
          <w:rFonts w:ascii="Times New Roman" w:hAnsi="Times New Roman" w:eastAsia="仿宋_GB2312"/>
          <w:sz w:val="32"/>
          <w:szCs w:val="32"/>
        </w:rPr>
      </w:pPr>
      <w:r>
        <w:rPr>
          <w:rFonts w:ascii="Times New Roman" w:hAnsi="Times New Roman" w:eastAsia="仿宋_GB2312"/>
          <w:sz w:val="32"/>
          <w:szCs w:val="32"/>
        </w:rPr>
        <w:t>排放单位既有设施xxx退出，未被新增设施替代。</w:t>
      </w:r>
    </w:p>
    <w:p>
      <w:pPr>
        <w:spacing w:after="0" w:line="560" w:lineRule="exact"/>
        <w:ind w:firstLine="465"/>
        <w:rPr>
          <w:rFonts w:ascii="Times New Roman" w:hAnsi="Times New Roman" w:eastAsia="仿宋_GB2312"/>
          <w:sz w:val="32"/>
          <w:szCs w:val="32"/>
        </w:rPr>
      </w:pPr>
    </w:p>
    <w:p>
      <w:pPr>
        <w:spacing w:after="0" w:line="560" w:lineRule="exact"/>
        <w:ind w:firstLine="465"/>
        <w:rPr>
          <w:rFonts w:ascii="Times New Roman" w:hAnsi="Times New Roman" w:eastAsia="仿宋_GB2312"/>
          <w:sz w:val="32"/>
          <w:szCs w:val="32"/>
        </w:rPr>
      </w:pPr>
    </w:p>
    <w:p>
      <w:pPr>
        <w:spacing w:after="0" w:line="560" w:lineRule="exact"/>
        <w:jc w:val="center"/>
        <w:rPr>
          <w:rFonts w:ascii="Times New Roman" w:hAnsi="Times New Roman" w:eastAsia="仿宋_GB2312"/>
          <w:sz w:val="24"/>
        </w:rPr>
      </w:pPr>
      <w:r>
        <w:rPr>
          <w:rFonts w:ascii="Times New Roman" w:hAnsi="Times New Roman" w:eastAsia="仿宋_GB2312"/>
          <w:sz w:val="24"/>
        </w:rPr>
        <w:t>表XX  既有设施退出信息表</w:t>
      </w:r>
    </w:p>
    <w:tbl>
      <w:tblPr>
        <w:tblStyle w:val="3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63"/>
        <w:gridCol w:w="1086"/>
        <w:gridCol w:w="708"/>
        <w:gridCol w:w="912"/>
        <w:gridCol w:w="1075"/>
        <w:gridCol w:w="1174"/>
        <w:gridCol w:w="1174"/>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45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序号</w:t>
            </w:r>
          </w:p>
        </w:tc>
        <w:tc>
          <w:tcPr>
            <w:tcW w:w="78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既有设施名称</w:t>
            </w:r>
          </w:p>
        </w:tc>
        <w:tc>
          <w:tcPr>
            <w:tcW w:w="1134"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既有设施对应其它生产信息（如适用）</w:t>
            </w:r>
          </w:p>
        </w:tc>
        <w:tc>
          <w:tcPr>
            <w:tcW w:w="709"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退出时间</w:t>
            </w:r>
          </w:p>
        </w:tc>
        <w:tc>
          <w:tcPr>
            <w:tcW w:w="968"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是否由新增设施替代</w:t>
            </w:r>
          </w:p>
        </w:tc>
        <w:tc>
          <w:tcPr>
            <w:tcW w:w="1121" w:type="dxa"/>
            <w:vMerge w:val="restart"/>
            <w:tcBorders>
              <w:righ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年度</w:t>
            </w:r>
          </w:p>
        </w:tc>
        <w:tc>
          <w:tcPr>
            <w:tcW w:w="3348" w:type="dxa"/>
            <w:gridSpan w:val="3"/>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历史年度排放量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56" w:type="dxa"/>
            <w:vMerge w:val="continue"/>
            <w:vAlign w:val="center"/>
          </w:tcPr>
          <w:p>
            <w:pPr>
              <w:jc w:val="center"/>
              <w:rPr>
                <w:rFonts w:ascii="Times New Roman" w:hAnsi="Times New Roman" w:eastAsia="仿宋_GB2312"/>
                <w:sz w:val="24"/>
              </w:rPr>
            </w:pPr>
          </w:p>
        </w:tc>
        <w:tc>
          <w:tcPr>
            <w:tcW w:w="786" w:type="dxa"/>
            <w:vMerge w:val="continue"/>
            <w:vAlign w:val="center"/>
          </w:tcPr>
          <w:p>
            <w:pPr>
              <w:jc w:val="center"/>
              <w:rPr>
                <w:rFonts w:ascii="Times New Roman" w:hAnsi="Times New Roman" w:eastAsia="仿宋_GB2312"/>
                <w:sz w:val="24"/>
              </w:rPr>
            </w:pPr>
          </w:p>
        </w:tc>
        <w:tc>
          <w:tcPr>
            <w:tcW w:w="1134" w:type="dxa"/>
            <w:vMerge w:val="continue"/>
            <w:vAlign w:val="center"/>
          </w:tcPr>
          <w:p>
            <w:pPr>
              <w:jc w:val="center"/>
              <w:rPr>
                <w:rFonts w:ascii="Times New Roman" w:hAnsi="Times New Roman" w:eastAsia="仿宋_GB2312"/>
                <w:sz w:val="24"/>
              </w:rPr>
            </w:pPr>
          </w:p>
        </w:tc>
        <w:tc>
          <w:tcPr>
            <w:tcW w:w="709" w:type="dxa"/>
            <w:vMerge w:val="continue"/>
            <w:vAlign w:val="center"/>
          </w:tcPr>
          <w:p>
            <w:pPr>
              <w:jc w:val="center"/>
              <w:rPr>
                <w:rFonts w:ascii="Times New Roman" w:hAnsi="Times New Roman" w:eastAsia="仿宋_GB2312"/>
                <w:sz w:val="24"/>
              </w:rPr>
            </w:pPr>
          </w:p>
        </w:tc>
        <w:tc>
          <w:tcPr>
            <w:tcW w:w="968" w:type="dxa"/>
            <w:vMerge w:val="continue"/>
            <w:vAlign w:val="center"/>
          </w:tcPr>
          <w:p>
            <w:pPr>
              <w:jc w:val="center"/>
              <w:rPr>
                <w:rFonts w:ascii="Times New Roman" w:hAnsi="Times New Roman" w:eastAsia="仿宋_GB2312"/>
                <w:sz w:val="24"/>
              </w:rPr>
            </w:pPr>
          </w:p>
        </w:tc>
        <w:tc>
          <w:tcPr>
            <w:tcW w:w="1121" w:type="dxa"/>
            <w:vMerge w:val="continue"/>
            <w:tcBorders>
              <w:right w:val="single" w:color="auto" w:sz="4" w:space="0"/>
            </w:tcBorders>
            <w:vAlign w:val="center"/>
          </w:tcPr>
          <w:p>
            <w:pPr>
              <w:jc w:val="center"/>
              <w:rPr>
                <w:rFonts w:ascii="Times New Roman" w:hAnsi="Times New Roman" w:eastAsia="仿宋_GB2312"/>
                <w:sz w:val="24"/>
              </w:rPr>
            </w:pPr>
          </w:p>
        </w:tc>
        <w:tc>
          <w:tcPr>
            <w:tcW w:w="1116" w:type="dxa"/>
            <w:tcBorders>
              <w:left w:val="single" w:color="auto" w:sz="4" w:space="0"/>
            </w:tcBorders>
            <w:vAlign w:val="center"/>
          </w:tcPr>
          <w:p>
            <w:pPr>
              <w:jc w:val="center"/>
              <w:rPr>
                <w:rFonts w:ascii="Times New Roman" w:hAnsi="Times New Roman" w:eastAsia="仿宋_GB2312"/>
                <w:sz w:val="24"/>
              </w:rPr>
            </w:pPr>
            <w:r>
              <w:rPr>
                <w:rFonts w:ascii="Times New Roman" w:hAnsi="Times New Roman" w:eastAsia="仿宋_GB2312"/>
                <w:sz w:val="24"/>
              </w:rPr>
              <w:t>直接排放量（tCO</w:t>
            </w:r>
            <w:r>
              <w:rPr>
                <w:rFonts w:ascii="Times New Roman" w:hAnsi="Times New Roman" w:eastAsia="仿宋_GB2312"/>
                <w:sz w:val="24"/>
                <w:vertAlign w:val="subscript"/>
              </w:rPr>
              <w:t>2</w:t>
            </w:r>
            <w:r>
              <w:rPr>
                <w:rFonts w:ascii="Times New Roman" w:hAnsi="Times New Roman" w:eastAsia="仿宋_GB2312"/>
                <w:sz w:val="24"/>
              </w:rPr>
              <w:t>）</w:t>
            </w:r>
          </w:p>
        </w:tc>
        <w:tc>
          <w:tcPr>
            <w:tcW w:w="1116" w:type="dxa"/>
            <w:vAlign w:val="center"/>
          </w:tcPr>
          <w:p>
            <w:pPr>
              <w:jc w:val="center"/>
              <w:rPr>
                <w:rFonts w:ascii="Times New Roman" w:hAnsi="Times New Roman" w:eastAsia="仿宋_GB2312"/>
                <w:sz w:val="24"/>
              </w:rPr>
            </w:pPr>
            <w:r>
              <w:rPr>
                <w:rFonts w:ascii="Times New Roman" w:hAnsi="Times New Roman" w:eastAsia="仿宋_GB2312"/>
                <w:sz w:val="24"/>
              </w:rPr>
              <w:t>间接排放量（tCO</w:t>
            </w:r>
            <w:r>
              <w:rPr>
                <w:rFonts w:ascii="Times New Roman" w:hAnsi="Times New Roman" w:eastAsia="仿宋_GB2312"/>
                <w:sz w:val="24"/>
                <w:vertAlign w:val="subscript"/>
              </w:rPr>
              <w:t>2</w:t>
            </w:r>
            <w:r>
              <w:rPr>
                <w:rFonts w:ascii="Times New Roman" w:hAnsi="Times New Roman" w:eastAsia="仿宋_GB2312"/>
                <w:sz w:val="24"/>
              </w:rPr>
              <w:t>）</w:t>
            </w:r>
          </w:p>
        </w:tc>
        <w:tc>
          <w:tcPr>
            <w:tcW w:w="1116" w:type="dxa"/>
            <w:vAlign w:val="center"/>
          </w:tcPr>
          <w:p>
            <w:pPr>
              <w:jc w:val="center"/>
              <w:rPr>
                <w:rFonts w:ascii="Times New Roman" w:hAnsi="Times New Roman" w:eastAsia="仿宋_GB2312"/>
                <w:sz w:val="24"/>
              </w:rPr>
            </w:pPr>
            <w:r>
              <w:rPr>
                <w:rFonts w:ascii="Times New Roman" w:hAnsi="Times New Roman" w:eastAsia="仿宋_GB2312"/>
                <w:sz w:val="24"/>
              </w:rPr>
              <w:t>总排放量（tCO</w:t>
            </w:r>
            <w:r>
              <w:rPr>
                <w:rFonts w:ascii="Times New Roman" w:hAnsi="Times New Roman" w:eastAsia="仿宋_GB2312"/>
                <w:sz w:val="24"/>
                <w:vertAlign w:val="subscript"/>
              </w:rPr>
              <w:t>2</w:t>
            </w: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45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1</w:t>
            </w:r>
          </w:p>
        </w:tc>
        <w:tc>
          <w:tcPr>
            <w:tcW w:w="786"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xxx</w:t>
            </w:r>
          </w:p>
        </w:tc>
        <w:tc>
          <w:tcPr>
            <w:tcW w:w="1134" w:type="dxa"/>
            <w:vMerge w:val="restart"/>
            <w:vAlign w:val="center"/>
          </w:tcPr>
          <w:p>
            <w:pPr>
              <w:jc w:val="center"/>
              <w:rPr>
                <w:rFonts w:ascii="Times New Roman" w:hAnsi="Times New Roman" w:eastAsia="仿宋_GB2312"/>
                <w:sz w:val="24"/>
              </w:rPr>
            </w:pPr>
          </w:p>
        </w:tc>
        <w:tc>
          <w:tcPr>
            <w:tcW w:w="709"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2018</w:t>
            </w:r>
          </w:p>
        </w:tc>
        <w:tc>
          <w:tcPr>
            <w:tcW w:w="968" w:type="dxa"/>
            <w:vMerge w:val="restart"/>
            <w:vAlign w:val="center"/>
          </w:tcPr>
          <w:p>
            <w:pPr>
              <w:jc w:val="center"/>
              <w:rPr>
                <w:rFonts w:ascii="Times New Roman" w:hAnsi="Times New Roman" w:eastAsia="仿宋_GB2312"/>
                <w:sz w:val="24"/>
              </w:rPr>
            </w:pPr>
            <w:r>
              <w:rPr>
                <w:rFonts w:ascii="Times New Roman" w:hAnsi="Times New Roman" w:eastAsia="仿宋_GB2312"/>
                <w:sz w:val="24"/>
              </w:rPr>
              <w:t>否</w:t>
            </w: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2016年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800.00</w:t>
            </w:r>
          </w:p>
        </w:tc>
        <w:tc>
          <w:tcPr>
            <w:tcW w:w="1116" w:type="dxa"/>
          </w:tcPr>
          <w:p>
            <w:pPr>
              <w:rPr>
                <w:rFonts w:ascii="Times New Roman" w:hAnsi="Times New Roman" w:eastAsia="仿宋_GB2312"/>
                <w:sz w:val="24"/>
              </w:rPr>
            </w:pPr>
            <w:r>
              <w:rPr>
                <w:rFonts w:ascii="Times New Roman" w:hAnsi="Times New Roman" w:eastAsia="仿宋_GB2312"/>
                <w:sz w:val="24"/>
              </w:rPr>
              <w:t>100.00</w:t>
            </w:r>
          </w:p>
        </w:tc>
        <w:tc>
          <w:tcPr>
            <w:tcW w:w="1116" w:type="dxa"/>
          </w:tcPr>
          <w:p>
            <w:pPr>
              <w:rPr>
                <w:rFonts w:ascii="Times New Roman" w:hAnsi="Times New Roman" w:eastAsia="仿宋_GB2312"/>
                <w:sz w:val="24"/>
              </w:rPr>
            </w:pPr>
            <w:r>
              <w:rPr>
                <w:rFonts w:ascii="Times New Roman" w:hAnsi="Times New Roman" w:eastAsia="仿宋_GB2312"/>
                <w:sz w:val="24"/>
              </w:rPr>
              <w:t>900.00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ascii="Times New Roman" w:hAnsi="Times New Roman" w:eastAsia="仿宋_GB2312"/>
                <w:sz w:val="24"/>
              </w:rPr>
            </w:pPr>
          </w:p>
        </w:tc>
        <w:tc>
          <w:tcPr>
            <w:tcW w:w="786" w:type="dxa"/>
            <w:vMerge w:val="continue"/>
          </w:tcPr>
          <w:p>
            <w:pPr>
              <w:rPr>
                <w:rFonts w:ascii="Times New Roman" w:hAnsi="Times New Roman" w:eastAsia="仿宋_GB2312"/>
                <w:sz w:val="24"/>
              </w:rPr>
            </w:pPr>
          </w:p>
        </w:tc>
        <w:tc>
          <w:tcPr>
            <w:tcW w:w="1134" w:type="dxa"/>
            <w:vMerge w:val="continue"/>
          </w:tcPr>
          <w:p>
            <w:pPr>
              <w:rPr>
                <w:rFonts w:ascii="Times New Roman" w:hAnsi="Times New Roman" w:eastAsia="仿宋_GB2312"/>
                <w:sz w:val="24"/>
              </w:rPr>
            </w:pPr>
          </w:p>
        </w:tc>
        <w:tc>
          <w:tcPr>
            <w:tcW w:w="709" w:type="dxa"/>
            <w:vMerge w:val="continue"/>
          </w:tcPr>
          <w:p>
            <w:pPr>
              <w:rPr>
                <w:rFonts w:ascii="Times New Roman" w:hAnsi="Times New Roman" w:eastAsia="仿宋_GB2312"/>
                <w:sz w:val="24"/>
              </w:rPr>
            </w:pPr>
          </w:p>
        </w:tc>
        <w:tc>
          <w:tcPr>
            <w:tcW w:w="968" w:type="dxa"/>
            <w:vMerge w:val="continue"/>
          </w:tcPr>
          <w:p>
            <w:pPr>
              <w:rPr>
                <w:rFonts w:ascii="Times New Roman" w:hAnsi="Times New Roman" w:eastAsia="仿宋_GB2312"/>
                <w:sz w:val="24"/>
              </w:rPr>
            </w:pP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2017年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810.00</w:t>
            </w:r>
          </w:p>
        </w:tc>
        <w:tc>
          <w:tcPr>
            <w:tcW w:w="1116" w:type="dxa"/>
          </w:tcPr>
          <w:p>
            <w:pPr>
              <w:rPr>
                <w:rFonts w:ascii="Times New Roman" w:hAnsi="Times New Roman" w:eastAsia="仿宋_GB2312"/>
                <w:sz w:val="24"/>
              </w:rPr>
            </w:pPr>
            <w:r>
              <w:rPr>
                <w:rFonts w:ascii="Times New Roman" w:hAnsi="Times New Roman" w:eastAsia="仿宋_GB2312"/>
                <w:sz w:val="24"/>
              </w:rPr>
              <w:t>102.00</w:t>
            </w:r>
          </w:p>
        </w:tc>
        <w:tc>
          <w:tcPr>
            <w:tcW w:w="1116" w:type="dxa"/>
          </w:tcPr>
          <w:p>
            <w:pPr>
              <w:rPr>
                <w:rFonts w:ascii="Times New Roman" w:hAnsi="Times New Roman" w:eastAsia="仿宋_GB2312"/>
                <w:sz w:val="24"/>
              </w:rPr>
            </w:pPr>
            <w:r>
              <w:rPr>
                <w:rFonts w:ascii="Times New Roman" w:hAnsi="Times New Roman" w:eastAsia="仿宋_GB2312"/>
                <w:sz w:val="24"/>
              </w:rPr>
              <w:t>912.00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56" w:type="dxa"/>
            <w:vMerge w:val="continue"/>
          </w:tcPr>
          <w:p>
            <w:pPr>
              <w:rPr>
                <w:rFonts w:ascii="Times New Roman" w:hAnsi="Times New Roman" w:eastAsia="仿宋_GB2312"/>
                <w:sz w:val="24"/>
              </w:rPr>
            </w:pPr>
          </w:p>
        </w:tc>
        <w:tc>
          <w:tcPr>
            <w:tcW w:w="786" w:type="dxa"/>
            <w:vMerge w:val="continue"/>
          </w:tcPr>
          <w:p>
            <w:pPr>
              <w:rPr>
                <w:rFonts w:ascii="Times New Roman" w:hAnsi="Times New Roman" w:eastAsia="仿宋_GB2312"/>
                <w:sz w:val="24"/>
              </w:rPr>
            </w:pPr>
          </w:p>
        </w:tc>
        <w:tc>
          <w:tcPr>
            <w:tcW w:w="1134" w:type="dxa"/>
            <w:vMerge w:val="continue"/>
          </w:tcPr>
          <w:p>
            <w:pPr>
              <w:rPr>
                <w:rFonts w:ascii="Times New Roman" w:hAnsi="Times New Roman" w:eastAsia="仿宋_GB2312"/>
                <w:sz w:val="24"/>
              </w:rPr>
            </w:pPr>
          </w:p>
        </w:tc>
        <w:tc>
          <w:tcPr>
            <w:tcW w:w="709" w:type="dxa"/>
            <w:vMerge w:val="continue"/>
          </w:tcPr>
          <w:p>
            <w:pPr>
              <w:rPr>
                <w:rFonts w:ascii="Times New Roman" w:hAnsi="Times New Roman" w:eastAsia="仿宋_GB2312"/>
                <w:sz w:val="24"/>
              </w:rPr>
            </w:pPr>
          </w:p>
        </w:tc>
        <w:tc>
          <w:tcPr>
            <w:tcW w:w="968" w:type="dxa"/>
            <w:vMerge w:val="continue"/>
          </w:tcPr>
          <w:p>
            <w:pPr>
              <w:rPr>
                <w:rFonts w:ascii="Times New Roman" w:hAnsi="Times New Roman" w:eastAsia="仿宋_GB2312"/>
                <w:sz w:val="24"/>
              </w:rPr>
            </w:pPr>
          </w:p>
        </w:tc>
        <w:tc>
          <w:tcPr>
            <w:tcW w:w="1121" w:type="dxa"/>
            <w:tcBorders>
              <w:right w:val="single" w:color="auto" w:sz="4" w:space="0"/>
            </w:tcBorders>
          </w:tcPr>
          <w:p>
            <w:pPr>
              <w:rPr>
                <w:rFonts w:ascii="Times New Roman" w:hAnsi="Times New Roman" w:eastAsia="仿宋_GB2312"/>
                <w:sz w:val="24"/>
              </w:rPr>
            </w:pPr>
            <w:r>
              <w:rPr>
                <w:rFonts w:ascii="Times New Roman" w:hAnsi="Times New Roman" w:eastAsia="仿宋_GB2312"/>
                <w:sz w:val="24"/>
              </w:rPr>
              <w:t>2018年</w:t>
            </w:r>
          </w:p>
        </w:tc>
        <w:tc>
          <w:tcPr>
            <w:tcW w:w="1116" w:type="dxa"/>
            <w:tcBorders>
              <w:left w:val="single" w:color="auto" w:sz="4" w:space="0"/>
            </w:tcBorders>
          </w:tcPr>
          <w:p>
            <w:pPr>
              <w:rPr>
                <w:rFonts w:ascii="Times New Roman" w:hAnsi="Times New Roman" w:eastAsia="仿宋_GB2312"/>
                <w:sz w:val="24"/>
              </w:rPr>
            </w:pPr>
            <w:r>
              <w:rPr>
                <w:rFonts w:ascii="Times New Roman" w:hAnsi="Times New Roman" w:eastAsia="仿宋_GB2312"/>
                <w:sz w:val="24"/>
              </w:rPr>
              <w:t>130.00</w:t>
            </w:r>
          </w:p>
        </w:tc>
        <w:tc>
          <w:tcPr>
            <w:tcW w:w="1116" w:type="dxa"/>
          </w:tcPr>
          <w:p>
            <w:pPr>
              <w:rPr>
                <w:rFonts w:ascii="Times New Roman" w:hAnsi="Times New Roman" w:eastAsia="仿宋_GB2312"/>
                <w:sz w:val="24"/>
              </w:rPr>
            </w:pPr>
            <w:r>
              <w:rPr>
                <w:rFonts w:ascii="Times New Roman" w:hAnsi="Times New Roman" w:eastAsia="仿宋_GB2312"/>
                <w:sz w:val="24"/>
              </w:rPr>
              <w:t>10.00</w:t>
            </w:r>
          </w:p>
        </w:tc>
        <w:tc>
          <w:tcPr>
            <w:tcW w:w="1116" w:type="dxa"/>
          </w:tcPr>
          <w:p>
            <w:pPr>
              <w:rPr>
                <w:rFonts w:ascii="Times New Roman" w:hAnsi="Times New Roman" w:eastAsia="仿宋_GB2312"/>
                <w:sz w:val="24"/>
              </w:rPr>
            </w:pPr>
            <w:r>
              <w:rPr>
                <w:rFonts w:ascii="Times New Roman" w:hAnsi="Times New Roman" w:eastAsia="仿宋_GB2312"/>
                <w:sz w:val="24"/>
              </w:rPr>
              <w:t>140.00</w:t>
            </w:r>
          </w:p>
        </w:tc>
      </w:tr>
    </w:tbl>
    <w:p>
      <w:pPr>
        <w:spacing w:after="0"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排放单位新增设施主要包括xxx发生器及生产用电设备，其排放量信息见下表：</w:t>
      </w:r>
    </w:p>
    <w:p>
      <w:pPr>
        <w:spacing w:after="0" w:line="560" w:lineRule="exact"/>
        <w:jc w:val="center"/>
        <w:rPr>
          <w:rFonts w:ascii="Times New Roman" w:hAnsi="Times New Roman" w:eastAsia="仿宋_GB2312"/>
          <w:sz w:val="32"/>
          <w:szCs w:val="32"/>
        </w:rPr>
      </w:pPr>
      <w:r>
        <w:rPr>
          <w:rFonts w:hint="eastAsia" w:ascii="Times New Roman" w:hAnsi="Times New Roman" w:eastAsia="仿宋_GB2312"/>
          <w:sz w:val="24"/>
        </w:rPr>
        <w:t>表</w:t>
      </w:r>
      <w:r>
        <w:rPr>
          <w:rFonts w:ascii="Times New Roman" w:hAnsi="Times New Roman" w:eastAsia="仿宋_GB2312"/>
          <w:sz w:val="24"/>
        </w:rPr>
        <w:t xml:space="preserve">XX  </w:t>
      </w:r>
      <w:r>
        <w:rPr>
          <w:rFonts w:hint="eastAsia" w:ascii="Times New Roman" w:hAnsi="Times New Roman" w:eastAsia="仿宋_GB2312"/>
          <w:sz w:val="24"/>
        </w:rPr>
        <w:t>新增设施信息表</w:t>
      </w:r>
    </w:p>
    <w:tbl>
      <w:tblPr>
        <w:tblStyle w:val="3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293"/>
        <w:gridCol w:w="2333"/>
        <w:gridCol w:w="1650"/>
        <w:gridCol w:w="1268"/>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1" w:type="pct"/>
            <w:vAlign w:val="center"/>
          </w:tcPr>
          <w:p>
            <w:pPr>
              <w:tabs>
                <w:tab w:val="left" w:pos="1701"/>
              </w:tabs>
              <w:jc w:val="center"/>
              <w:rPr>
                <w:rFonts w:ascii="Times New Roman" w:hAnsi="Times New Roman" w:eastAsia="仿宋_GB2312"/>
                <w:sz w:val="24"/>
              </w:rPr>
            </w:pPr>
            <w:r>
              <w:rPr>
                <w:rFonts w:hint="eastAsia" w:ascii="Times New Roman" w:hAnsi="Times New Roman" w:eastAsia="仿宋_GB2312"/>
                <w:sz w:val="24"/>
              </w:rPr>
              <w:t>序号</w:t>
            </w:r>
          </w:p>
        </w:tc>
        <w:tc>
          <w:tcPr>
            <w:tcW w:w="714" w:type="pct"/>
            <w:vAlign w:val="center"/>
          </w:tcPr>
          <w:p>
            <w:pPr>
              <w:tabs>
                <w:tab w:val="left" w:pos="1701"/>
              </w:tabs>
              <w:jc w:val="center"/>
              <w:rPr>
                <w:rFonts w:ascii="Times New Roman" w:hAnsi="Times New Roman" w:eastAsia="仿宋_GB2312"/>
                <w:sz w:val="24"/>
              </w:rPr>
            </w:pPr>
            <w:r>
              <w:rPr>
                <w:rFonts w:hint="eastAsia" w:ascii="Times New Roman" w:hAnsi="Times New Roman" w:eastAsia="仿宋_GB2312"/>
                <w:sz w:val="24"/>
              </w:rPr>
              <w:t>设施新增年份</w:t>
            </w:r>
          </w:p>
        </w:tc>
        <w:tc>
          <w:tcPr>
            <w:tcW w:w="1288" w:type="pct"/>
            <w:vAlign w:val="center"/>
          </w:tcPr>
          <w:p>
            <w:pPr>
              <w:tabs>
                <w:tab w:val="left" w:pos="1701"/>
              </w:tabs>
              <w:jc w:val="center"/>
              <w:rPr>
                <w:rFonts w:ascii="Times New Roman" w:hAnsi="Times New Roman" w:eastAsia="仿宋_GB2312"/>
                <w:sz w:val="24"/>
              </w:rPr>
            </w:pPr>
            <w:r>
              <w:rPr>
                <w:rFonts w:hint="eastAsia" w:ascii="Times New Roman" w:hAnsi="Times New Roman" w:eastAsia="仿宋_GB2312"/>
                <w:sz w:val="24"/>
              </w:rPr>
              <w:t>新增设施类型</w:t>
            </w:r>
          </w:p>
        </w:tc>
        <w:tc>
          <w:tcPr>
            <w:tcW w:w="911" w:type="pct"/>
            <w:vAlign w:val="center"/>
          </w:tcPr>
          <w:p>
            <w:pPr>
              <w:tabs>
                <w:tab w:val="left" w:pos="1701"/>
              </w:tabs>
              <w:jc w:val="center"/>
              <w:rPr>
                <w:rFonts w:ascii="Times New Roman" w:hAnsi="Times New Roman" w:eastAsia="仿宋_GB2312"/>
                <w:sz w:val="24"/>
              </w:rPr>
            </w:pPr>
            <w:r>
              <w:rPr>
                <w:rFonts w:hint="eastAsia" w:ascii="Times New Roman" w:hAnsi="Times New Roman" w:eastAsia="仿宋_GB2312"/>
                <w:sz w:val="24"/>
              </w:rPr>
              <w:t>是否替代既有设施，被替代既有设施类型</w:t>
            </w:r>
          </w:p>
        </w:tc>
        <w:tc>
          <w:tcPr>
            <w:tcW w:w="700" w:type="pct"/>
            <w:vAlign w:val="center"/>
          </w:tcPr>
          <w:p>
            <w:pPr>
              <w:tabs>
                <w:tab w:val="left" w:pos="1701"/>
              </w:tabs>
              <w:jc w:val="center"/>
              <w:rPr>
                <w:rFonts w:ascii="Times New Roman" w:hAnsi="Times New Roman" w:eastAsia="仿宋_GB2312"/>
                <w:sz w:val="24"/>
              </w:rPr>
            </w:pPr>
            <w:r>
              <w:rPr>
                <w:rFonts w:hint="eastAsia" w:ascii="Times New Roman" w:hAnsi="Times New Roman" w:eastAsia="仿宋_GB2312"/>
                <w:sz w:val="24"/>
              </w:rPr>
              <w:t>新增设施排放量（吨）</w:t>
            </w:r>
          </w:p>
        </w:tc>
        <w:tc>
          <w:tcPr>
            <w:tcW w:w="836" w:type="pct"/>
            <w:vAlign w:val="center"/>
          </w:tcPr>
          <w:p>
            <w:pPr>
              <w:tabs>
                <w:tab w:val="left" w:pos="1701"/>
              </w:tabs>
              <w:jc w:val="center"/>
              <w:rPr>
                <w:rFonts w:ascii="Times New Roman" w:hAnsi="Times New Roman" w:eastAsia="仿宋_GB2312"/>
                <w:sz w:val="24"/>
              </w:rPr>
            </w:pPr>
            <w:r>
              <w:rPr>
                <w:rFonts w:hint="eastAsia" w:ascii="Times New Roman" w:hAnsi="Times New Roman" w:eastAsia="仿宋_GB2312"/>
                <w:sz w:val="24"/>
              </w:rPr>
              <w:t>替代既有设施的新增排放量</w:t>
            </w:r>
            <w:r>
              <w:rPr>
                <w:rFonts w:ascii="Times New Roman" w:hAnsi="Times New Roman" w:eastAsia="仿宋_GB2312"/>
                <w:sz w:val="24"/>
              </w:rPr>
              <w:t>(</w:t>
            </w:r>
            <w:r>
              <w:rPr>
                <w:rFonts w:hint="eastAsia" w:ascii="Times New Roman" w:hAnsi="Times New Roman" w:eastAsia="仿宋_GB2312"/>
                <w:sz w:val="24"/>
              </w:rPr>
              <w:t>吨</w:t>
            </w: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1" w:type="pct"/>
            <w:vAlign w:val="center"/>
          </w:tcPr>
          <w:p>
            <w:pPr>
              <w:tabs>
                <w:tab w:val="left" w:pos="1701"/>
              </w:tabs>
              <w:jc w:val="center"/>
              <w:rPr>
                <w:rFonts w:ascii="Times New Roman" w:hAnsi="Times New Roman" w:eastAsia="仿宋_GB2312"/>
                <w:sz w:val="24"/>
              </w:rPr>
            </w:pPr>
            <w:r>
              <w:rPr>
                <w:rFonts w:ascii="Times New Roman" w:hAnsi="Times New Roman" w:eastAsia="仿宋_GB2312"/>
                <w:sz w:val="24"/>
              </w:rPr>
              <w:t>1</w:t>
            </w:r>
          </w:p>
        </w:tc>
        <w:tc>
          <w:tcPr>
            <w:tcW w:w="714" w:type="pct"/>
            <w:vAlign w:val="center"/>
          </w:tcPr>
          <w:p>
            <w:pPr>
              <w:tabs>
                <w:tab w:val="left" w:pos="1701"/>
              </w:tabs>
              <w:jc w:val="center"/>
              <w:rPr>
                <w:rFonts w:ascii="Times New Roman" w:hAnsi="Times New Roman" w:eastAsia="仿宋_GB2312"/>
                <w:sz w:val="24"/>
              </w:rPr>
            </w:pPr>
            <w:r>
              <w:rPr>
                <w:rFonts w:ascii="Times New Roman" w:hAnsi="Times New Roman" w:eastAsia="仿宋_GB2312"/>
                <w:sz w:val="24"/>
              </w:rPr>
              <w:t>2019</w:t>
            </w:r>
          </w:p>
        </w:tc>
        <w:tc>
          <w:tcPr>
            <w:tcW w:w="1288" w:type="pct"/>
            <w:vAlign w:val="center"/>
          </w:tcPr>
          <w:p>
            <w:pPr>
              <w:tabs>
                <w:tab w:val="left" w:pos="1701"/>
              </w:tabs>
              <w:jc w:val="center"/>
              <w:rPr>
                <w:rFonts w:ascii="Times New Roman" w:hAnsi="Times New Roman" w:eastAsia="仿宋_GB2312"/>
                <w:sz w:val="24"/>
              </w:rPr>
            </w:pPr>
            <w:r>
              <w:rPr>
                <w:rFonts w:ascii="Times New Roman" w:hAnsi="Times New Roman" w:eastAsia="仿宋_GB2312"/>
                <w:sz w:val="24"/>
              </w:rPr>
              <w:t>xxx</w:t>
            </w:r>
            <w:r>
              <w:rPr>
                <w:rFonts w:hint="eastAsia" w:ascii="Times New Roman" w:hAnsi="Times New Roman" w:eastAsia="仿宋_GB2312"/>
                <w:sz w:val="24"/>
              </w:rPr>
              <w:t>发生器</w:t>
            </w:r>
          </w:p>
        </w:tc>
        <w:tc>
          <w:tcPr>
            <w:tcW w:w="911" w:type="pct"/>
            <w:vAlign w:val="center"/>
          </w:tcPr>
          <w:p>
            <w:pPr>
              <w:tabs>
                <w:tab w:val="left" w:pos="1701"/>
              </w:tabs>
              <w:jc w:val="center"/>
              <w:rPr>
                <w:rFonts w:ascii="Times New Roman" w:hAnsi="Times New Roman" w:eastAsia="仿宋_GB2312"/>
                <w:sz w:val="24"/>
              </w:rPr>
            </w:pPr>
            <w:r>
              <w:rPr>
                <w:rFonts w:hint="eastAsia" w:ascii="Times New Roman" w:hAnsi="Times New Roman" w:eastAsia="仿宋_GB2312"/>
                <w:sz w:val="24"/>
              </w:rPr>
              <w:t>否</w:t>
            </w:r>
          </w:p>
        </w:tc>
        <w:tc>
          <w:tcPr>
            <w:tcW w:w="700" w:type="pct"/>
            <w:vAlign w:val="center"/>
          </w:tcPr>
          <w:p>
            <w:pPr>
              <w:tabs>
                <w:tab w:val="left" w:pos="1701"/>
              </w:tabs>
              <w:jc w:val="center"/>
              <w:rPr>
                <w:rFonts w:ascii="Times New Roman" w:hAnsi="Times New Roman" w:eastAsia="仿宋_GB2312"/>
                <w:sz w:val="24"/>
              </w:rPr>
            </w:pPr>
            <w:bookmarkStart w:id="29" w:name="_Hlk34834187"/>
            <w:r>
              <w:rPr>
                <w:rFonts w:ascii="Times New Roman" w:hAnsi="Times New Roman" w:eastAsia="仿宋_GB2312"/>
                <w:sz w:val="24"/>
              </w:rPr>
              <w:t>1590.36</w:t>
            </w:r>
            <w:bookmarkEnd w:id="29"/>
          </w:p>
        </w:tc>
        <w:tc>
          <w:tcPr>
            <w:tcW w:w="836" w:type="pct"/>
            <w:vAlign w:val="center"/>
          </w:tcPr>
          <w:p>
            <w:pPr>
              <w:tabs>
                <w:tab w:val="left" w:pos="1701"/>
              </w:tabs>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1" w:type="pct"/>
            <w:vAlign w:val="center"/>
          </w:tcPr>
          <w:p>
            <w:pPr>
              <w:jc w:val="center"/>
              <w:rPr>
                <w:rFonts w:ascii="Times New Roman" w:hAnsi="Times New Roman" w:eastAsia="仿宋_GB2312"/>
                <w:sz w:val="24"/>
              </w:rPr>
            </w:pPr>
            <w:r>
              <w:rPr>
                <w:rFonts w:ascii="Times New Roman" w:hAnsi="Times New Roman" w:eastAsia="仿宋_GB2312"/>
                <w:sz w:val="24"/>
              </w:rPr>
              <w:t>2</w:t>
            </w:r>
          </w:p>
        </w:tc>
        <w:tc>
          <w:tcPr>
            <w:tcW w:w="714" w:type="pct"/>
            <w:vAlign w:val="center"/>
          </w:tcPr>
          <w:p>
            <w:pPr>
              <w:jc w:val="center"/>
              <w:rPr>
                <w:rFonts w:ascii="Times New Roman" w:hAnsi="Times New Roman" w:eastAsia="仿宋_GB2312"/>
                <w:sz w:val="24"/>
              </w:rPr>
            </w:pPr>
            <w:r>
              <w:rPr>
                <w:rFonts w:ascii="Times New Roman" w:hAnsi="Times New Roman" w:eastAsia="仿宋_GB2312"/>
                <w:sz w:val="24"/>
              </w:rPr>
              <w:t>2020</w:t>
            </w:r>
          </w:p>
        </w:tc>
        <w:tc>
          <w:tcPr>
            <w:tcW w:w="1288" w:type="pct"/>
            <w:vAlign w:val="center"/>
          </w:tcPr>
          <w:p>
            <w:pPr>
              <w:rPr>
                <w:rFonts w:ascii="Times New Roman" w:hAnsi="Times New Roman" w:eastAsia="仿宋_GB2312"/>
                <w:sz w:val="24"/>
              </w:rPr>
            </w:pPr>
            <w:r>
              <w:rPr>
                <w:rFonts w:ascii="Times New Roman" w:hAnsi="Times New Roman" w:eastAsia="仿宋_GB2312"/>
                <w:sz w:val="24"/>
              </w:rPr>
              <w:t>2</w:t>
            </w:r>
            <w:r>
              <w:rPr>
                <w:rFonts w:hint="eastAsia" w:ascii="Times New Roman" w:hAnsi="Times New Roman" w:eastAsia="仿宋_GB2312"/>
                <w:sz w:val="24"/>
              </w:rPr>
              <w:t>套</w:t>
            </w:r>
            <w:r>
              <w:rPr>
                <w:rFonts w:ascii="Times New Roman" w:hAnsi="Times New Roman" w:eastAsia="仿宋_GB2312"/>
                <w:sz w:val="24"/>
              </w:rPr>
              <w:t>1#</w:t>
            </w:r>
            <w:r>
              <w:rPr>
                <w:rFonts w:hint="eastAsia" w:ascii="Times New Roman" w:hAnsi="Times New Roman" w:eastAsia="仿宋_GB2312"/>
                <w:sz w:val="24"/>
              </w:rPr>
              <w:t>楼</w:t>
            </w:r>
            <w:r>
              <w:rPr>
                <w:rFonts w:ascii="Times New Roman" w:hAnsi="Times New Roman" w:eastAsia="仿宋_GB2312"/>
                <w:sz w:val="24"/>
              </w:rPr>
              <w:t>1</w:t>
            </w:r>
            <w:r>
              <w:rPr>
                <w:rFonts w:hint="eastAsia" w:ascii="Times New Roman" w:hAnsi="Times New Roman" w:eastAsia="仿宋_GB2312"/>
                <w:sz w:val="24"/>
              </w:rPr>
              <w:t>层空调机房新增冷冻机组、</w:t>
            </w:r>
            <w:r>
              <w:rPr>
                <w:rFonts w:ascii="Times New Roman" w:hAnsi="Times New Roman" w:eastAsia="仿宋_GB2312"/>
                <w:sz w:val="24"/>
              </w:rPr>
              <w:t>2</w:t>
            </w:r>
            <w:r>
              <w:rPr>
                <w:rFonts w:hint="eastAsia" w:ascii="Times New Roman" w:hAnsi="Times New Roman" w:eastAsia="仿宋_GB2312"/>
                <w:sz w:val="24"/>
              </w:rPr>
              <w:t>套液体发酵系统等生产用电设备</w:t>
            </w:r>
          </w:p>
        </w:tc>
        <w:tc>
          <w:tcPr>
            <w:tcW w:w="911" w:type="pct"/>
            <w:vAlign w:val="center"/>
          </w:tcPr>
          <w:p>
            <w:pPr>
              <w:jc w:val="center"/>
              <w:rPr>
                <w:rFonts w:ascii="Times New Roman" w:hAnsi="Times New Roman" w:eastAsia="仿宋_GB2312"/>
                <w:sz w:val="24"/>
              </w:rPr>
            </w:pPr>
            <w:r>
              <w:rPr>
                <w:rFonts w:hint="eastAsia" w:ascii="Times New Roman" w:hAnsi="Times New Roman" w:eastAsia="仿宋_GB2312"/>
                <w:sz w:val="24"/>
              </w:rPr>
              <w:t>否</w:t>
            </w:r>
          </w:p>
        </w:tc>
        <w:tc>
          <w:tcPr>
            <w:tcW w:w="700" w:type="pct"/>
            <w:vAlign w:val="center"/>
          </w:tcPr>
          <w:p>
            <w:pPr>
              <w:tabs>
                <w:tab w:val="left" w:pos="1701"/>
              </w:tabs>
              <w:jc w:val="center"/>
              <w:rPr>
                <w:rFonts w:ascii="Times New Roman" w:hAnsi="Times New Roman" w:eastAsia="仿宋_GB2312"/>
                <w:sz w:val="24"/>
              </w:rPr>
            </w:pPr>
            <w:r>
              <w:rPr>
                <w:rFonts w:ascii="Times New Roman" w:hAnsi="Times New Roman" w:eastAsia="仿宋_GB2312"/>
                <w:sz w:val="24"/>
              </w:rPr>
              <w:t>1917.90</w:t>
            </w:r>
          </w:p>
        </w:tc>
        <w:tc>
          <w:tcPr>
            <w:tcW w:w="836" w:type="pct"/>
            <w:vAlign w:val="center"/>
          </w:tcPr>
          <w:p>
            <w:pPr>
              <w:tabs>
                <w:tab w:val="left" w:pos="1701"/>
              </w:tabs>
              <w:jc w:val="center"/>
              <w:rPr>
                <w:rFonts w:ascii="Times New Roman" w:hAnsi="Times New Roman" w:eastAsia="仿宋_GB2312"/>
                <w:sz w:val="24"/>
              </w:rPr>
            </w:pPr>
            <w:r>
              <w:rPr>
                <w:rFonts w:ascii="Times New Roman" w:hAnsi="Times New Roman"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1" w:type="pct"/>
          </w:tcPr>
          <w:p>
            <w:pPr>
              <w:jc w:val="center"/>
              <w:rPr>
                <w:rFonts w:ascii="Times New Roman" w:hAnsi="Times New Roman" w:eastAsia="仿宋_GB2312"/>
                <w:sz w:val="24"/>
              </w:rPr>
            </w:pPr>
            <w:r>
              <w:rPr>
                <w:rFonts w:hint="eastAsia" w:ascii="Times New Roman" w:hAnsi="Times New Roman" w:eastAsia="仿宋_GB2312"/>
                <w:sz w:val="24"/>
              </w:rPr>
              <w:t>合计</w:t>
            </w:r>
          </w:p>
        </w:tc>
        <w:tc>
          <w:tcPr>
            <w:tcW w:w="714" w:type="pct"/>
          </w:tcPr>
          <w:p>
            <w:pPr>
              <w:rPr>
                <w:rFonts w:ascii="Times New Roman" w:hAnsi="Times New Roman" w:eastAsia="仿宋_GB2312"/>
                <w:sz w:val="24"/>
              </w:rPr>
            </w:pPr>
          </w:p>
        </w:tc>
        <w:tc>
          <w:tcPr>
            <w:tcW w:w="1288" w:type="pct"/>
          </w:tcPr>
          <w:p>
            <w:pPr>
              <w:rPr>
                <w:rFonts w:ascii="Times New Roman" w:hAnsi="Times New Roman" w:eastAsia="仿宋_GB2312"/>
                <w:sz w:val="24"/>
              </w:rPr>
            </w:pPr>
          </w:p>
        </w:tc>
        <w:tc>
          <w:tcPr>
            <w:tcW w:w="911" w:type="pct"/>
          </w:tcPr>
          <w:p>
            <w:pPr>
              <w:rPr>
                <w:rFonts w:ascii="Times New Roman" w:hAnsi="Times New Roman" w:eastAsia="仿宋_GB2312"/>
                <w:sz w:val="24"/>
              </w:rPr>
            </w:pPr>
          </w:p>
        </w:tc>
        <w:tc>
          <w:tcPr>
            <w:tcW w:w="700" w:type="pct"/>
            <w:vAlign w:val="center"/>
          </w:tcPr>
          <w:p>
            <w:pPr>
              <w:tabs>
                <w:tab w:val="left" w:pos="1701"/>
              </w:tabs>
              <w:jc w:val="center"/>
              <w:rPr>
                <w:rFonts w:ascii="Times New Roman" w:hAnsi="Times New Roman" w:eastAsia="仿宋_GB2312"/>
                <w:sz w:val="24"/>
              </w:rPr>
            </w:pPr>
            <w:bookmarkStart w:id="30" w:name="_Hlk34834123"/>
            <w:r>
              <w:rPr>
                <w:rFonts w:ascii="Times New Roman" w:hAnsi="Times New Roman" w:eastAsia="仿宋_GB2312"/>
                <w:sz w:val="24"/>
              </w:rPr>
              <w:t>3508.26</w:t>
            </w:r>
            <w:bookmarkEnd w:id="30"/>
          </w:p>
        </w:tc>
        <w:tc>
          <w:tcPr>
            <w:tcW w:w="836" w:type="pct"/>
            <w:vAlign w:val="center"/>
          </w:tcPr>
          <w:p>
            <w:pPr>
              <w:tabs>
                <w:tab w:val="left" w:pos="1701"/>
              </w:tabs>
              <w:jc w:val="center"/>
              <w:rPr>
                <w:rFonts w:ascii="Times New Roman" w:hAnsi="Times New Roman" w:eastAsia="仿宋_GB2312"/>
                <w:sz w:val="24"/>
              </w:rPr>
            </w:pPr>
          </w:p>
        </w:tc>
      </w:tr>
    </w:tbl>
    <w:p>
      <w:pPr>
        <w:spacing w:after="0" w:line="56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排放单位新增设施导致的总排放量为</w:t>
      </w:r>
      <w:r>
        <w:rPr>
          <w:rFonts w:ascii="Times New Roman" w:hAnsi="Times New Roman" w:eastAsia="仿宋_GB2312"/>
          <w:sz w:val="32"/>
          <w:szCs w:val="32"/>
        </w:rPr>
        <w:t>3508.26</w:t>
      </w:r>
      <w:r>
        <w:rPr>
          <w:rFonts w:hint="eastAsia" w:ascii="Times New Roman" w:hAnsi="Times New Roman" w:eastAsia="仿宋_GB2312"/>
          <w:sz w:val="32"/>
          <w:szCs w:val="32"/>
        </w:rPr>
        <w:t>吨，是基准年年排放量的</w:t>
      </w:r>
      <w:r>
        <w:rPr>
          <w:rFonts w:ascii="Times New Roman" w:hAnsi="Times New Roman" w:eastAsia="仿宋_GB2312"/>
          <w:sz w:val="32"/>
          <w:szCs w:val="32"/>
        </w:rPr>
        <w:t>43.52%</w:t>
      </w:r>
      <w:r>
        <w:rPr>
          <w:rFonts w:hint="eastAsia" w:ascii="Times New Roman" w:hAnsi="Times New Roman" w:eastAsia="仿宋_GB2312"/>
          <w:sz w:val="32"/>
          <w:szCs w:val="32"/>
        </w:rPr>
        <w:t>，新增设施对应的产值为</w:t>
      </w:r>
      <w:r>
        <w:rPr>
          <w:rFonts w:ascii="Times New Roman" w:hAnsi="Times New Roman" w:eastAsia="仿宋_GB2312"/>
          <w:sz w:val="32"/>
          <w:szCs w:val="32"/>
        </w:rPr>
        <w:t>xx</w:t>
      </w:r>
      <w:r>
        <w:rPr>
          <w:rFonts w:hint="eastAsia" w:ascii="Times New Roman" w:hAnsi="Times New Roman" w:eastAsia="仿宋_GB2312"/>
          <w:sz w:val="32"/>
          <w:szCs w:val="32"/>
        </w:rPr>
        <w:t>万元。此信息供新增设施发放配额参考。</w:t>
      </w:r>
    </w:p>
    <w:p>
      <w:pPr>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5. 核查过程未覆盖的问题描述</w:t>
      </w:r>
    </w:p>
    <w:p>
      <w:pPr>
        <w:spacing w:after="0" w:line="560" w:lineRule="exact"/>
        <w:ind w:firstLine="640" w:firstLineChars="200"/>
        <w:jc w:val="both"/>
        <w:rPr>
          <w:rFonts w:ascii="仿宋_GB2312" w:hAnsi="仿宋" w:eastAsia="仿宋_GB2312"/>
          <w:sz w:val="32"/>
          <w:szCs w:val="32"/>
        </w:rPr>
      </w:pPr>
      <w:r>
        <w:rPr>
          <w:rFonts w:ascii="Times New Roman" w:hAnsi="Times New Roman" w:eastAsia="仿宋_GB2312"/>
          <w:sz w:val="32"/>
          <w:szCs w:val="32"/>
        </w:rPr>
        <w:t>由于天然气表和电表分别为燃气公司及电力公司管控，因此未能核查这些仪表的检定信息。</w:t>
      </w:r>
    </w:p>
    <w:sectPr>
      <w:footerReference r:id="rId15" w:type="default"/>
      <w:footerReference r:id="rId16" w:type="even"/>
      <w:pgSz w:w="11906" w:h="16838"/>
      <w:pgMar w:top="2098" w:right="1474" w:bottom="1984" w:left="1587" w:header="709" w:footer="1587" w:gutter="0"/>
      <w:paperSrc/>
      <w:pgNumType w:fmt="decimal"/>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Wide Latin">
    <w:altName w:val="Segoe Print"/>
    <w:panose1 w:val="020A0A070505050204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49" o:spid="_x0000_s2049" o:spt="202" type="#_x0000_t202" style="position:absolute;left:0pt;margin-left:377.55pt;margin-top:0pt;height:18.15pt;width:64.7pt;mso-position-horizontal-relative:margin;z-index:251659264;mso-width-relative:page;mso-height-relative:page;" filled="f" stroked="f" coordsize="21600,21600">
          <v:path/>
          <v:fill on="f" focussize="0,0"/>
          <v:stroke on="f"/>
          <v:imagedata o:title=""/>
          <o:lock v:ext="edit" aspectratio="f"/>
          <v:textbox inset="0mm,0mm,0mm,0mm">
            <w:txbxContent>
              <w:p>
                <w:pPr>
                  <w:pStyle w:val="2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61" o:spid="_x0000_s2061" o:spt="202" type="#_x0000_t202" style="position:absolute;left:0pt;margin-left:0pt;margin-top:0pt;height:36.3pt;width:86.7pt;mso-position-horizontal-relative:margin;z-index:251670528;mso-width-relative:page;mso-height-relative:page;" filled="f" stroked="f" coordsize="21600,21600">
          <v:path/>
          <v:fill on="f" focussize="0,0"/>
          <v:stroke on="f"/>
          <v:imagedata o:title=""/>
          <o:lock v:ext="edit" aspectratio="f"/>
          <v:textbox inset="0mm,0mm,0mm,0mm">
            <w:txbxContent>
              <w:p>
                <w:pPr>
                  <w:pStyle w:val="22"/>
                  <w:rPr>
                    <w:rFonts w:hint="eastAsia" w:ascii="宋体" w:hAnsi="宋体" w:eastAsia="宋体" w:cs="宋体"/>
                    <w:sz w:val="28"/>
                    <w:szCs w:val="28"/>
                    <w:lang w:val="en-US" w:eastAsia="zh-CN"/>
                  </w:rPr>
                </w:pPr>
                <w:r>
                  <w:rPr>
                    <w:rFonts w:hint="eastAsia" w:ascii="宋体" w:hAnsi="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2" o:spid="_x0000_s2052"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22"/>
                  <w:rPr>
                    <w:rStyle w:val="38"/>
                    <w:rFonts w:hint="eastAsia" w:ascii="宋体" w:hAnsi="宋体" w:eastAsia="宋体" w:cs="宋体"/>
                    <w:sz w:val="28"/>
                    <w:szCs w:val="28"/>
                    <w:lang w:val="en-US" w:eastAsia="zh-CN"/>
                  </w:rPr>
                </w:pPr>
                <w:r>
                  <w:rPr>
                    <w:rStyle w:val="38"/>
                    <w:rFonts w:hint="eastAsia" w:ascii="宋体" w:hAnsi="宋体" w:eastAsia="宋体" w:cs="宋体"/>
                    <w:sz w:val="28"/>
                    <w:szCs w:val="28"/>
                    <w:lang w:eastAsia="zh-CN"/>
                  </w:rPr>
                  <w:t>－</w:t>
                </w:r>
                <w:r>
                  <w:rPr>
                    <w:rStyle w:val="38"/>
                    <w:rFonts w:hint="eastAsia" w:ascii="宋体" w:hAnsi="宋体" w:eastAsia="宋体" w:cs="宋体"/>
                    <w:sz w:val="28"/>
                    <w:szCs w:val="28"/>
                    <w:lang w:val="en-US" w:eastAsia="zh-CN"/>
                  </w:rPr>
                  <w:t xml:space="preserve"> </w:t>
                </w:r>
                <w:r>
                  <w:rPr>
                    <w:rStyle w:val="38"/>
                    <w:rFonts w:hint="eastAsia" w:ascii="宋体" w:hAnsi="宋体" w:eastAsia="宋体" w:cs="宋体"/>
                    <w:sz w:val="28"/>
                    <w:szCs w:val="28"/>
                  </w:rPr>
                  <w:fldChar w:fldCharType="begin"/>
                </w:r>
                <w:r>
                  <w:rPr>
                    <w:rStyle w:val="38"/>
                    <w:rFonts w:hint="eastAsia" w:ascii="宋体" w:hAnsi="宋体" w:eastAsia="宋体" w:cs="宋体"/>
                    <w:sz w:val="28"/>
                    <w:szCs w:val="28"/>
                  </w:rPr>
                  <w:instrText xml:space="preserve">PAGE  </w:instrText>
                </w:r>
                <w:r>
                  <w:rPr>
                    <w:rStyle w:val="38"/>
                    <w:rFonts w:hint="eastAsia" w:ascii="宋体" w:hAnsi="宋体" w:eastAsia="宋体" w:cs="宋体"/>
                    <w:sz w:val="28"/>
                    <w:szCs w:val="28"/>
                  </w:rPr>
                  <w:fldChar w:fldCharType="separate"/>
                </w:r>
                <w:r>
                  <w:rPr>
                    <w:rStyle w:val="38"/>
                    <w:rFonts w:hint="eastAsia" w:ascii="宋体" w:hAnsi="宋体" w:eastAsia="宋体" w:cs="宋体"/>
                    <w:sz w:val="28"/>
                    <w:szCs w:val="28"/>
                  </w:rPr>
                  <w:t>102</w:t>
                </w:r>
                <w:r>
                  <w:rPr>
                    <w:rStyle w:val="38"/>
                    <w:rFonts w:hint="eastAsia" w:ascii="宋体" w:hAnsi="宋体" w:eastAsia="宋体" w:cs="宋体"/>
                    <w:sz w:val="28"/>
                    <w:szCs w:val="28"/>
                  </w:rPr>
                  <w:fldChar w:fldCharType="end"/>
                </w:r>
                <w:r>
                  <w:rPr>
                    <w:rStyle w:val="38"/>
                    <w:rFonts w:hint="eastAsia" w:ascii="宋体" w:hAnsi="宋体" w:eastAsia="宋体" w:cs="宋体"/>
                    <w:sz w:val="28"/>
                    <w:szCs w:val="28"/>
                    <w:lang w:val="en-US" w:eastAsia="zh-CN"/>
                  </w:rPr>
                  <w:t xml:space="preserve"> －</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3" o:spid="_x0000_s2053"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22"/>
                  <w:rPr>
                    <w:rStyle w:val="38"/>
                    <w:rFonts w:hint="eastAsia" w:ascii="宋体" w:hAnsi="宋体" w:eastAsia="宋体" w:cs="宋体"/>
                    <w:sz w:val="28"/>
                    <w:szCs w:val="28"/>
                    <w:lang w:eastAsia="zh-CN"/>
                  </w:rPr>
                </w:pPr>
                <w:r>
                  <w:rPr>
                    <w:rStyle w:val="38"/>
                    <w:rFonts w:hint="eastAsia" w:ascii="宋体" w:hAnsi="宋体" w:eastAsia="宋体" w:cs="宋体"/>
                    <w:sz w:val="28"/>
                    <w:szCs w:val="28"/>
                    <w:lang w:eastAsia="zh-CN"/>
                  </w:rPr>
                  <w:t>－</w:t>
                </w:r>
                <w:r>
                  <w:rPr>
                    <w:rStyle w:val="38"/>
                    <w:rFonts w:hint="eastAsia" w:ascii="宋体" w:hAnsi="宋体" w:eastAsia="宋体" w:cs="宋体"/>
                    <w:sz w:val="28"/>
                    <w:szCs w:val="28"/>
                    <w:lang w:val="en-US" w:eastAsia="zh-CN"/>
                  </w:rPr>
                  <w:t xml:space="preserve"> </w:t>
                </w:r>
                <w:r>
                  <w:rPr>
                    <w:rStyle w:val="38"/>
                    <w:rFonts w:hint="eastAsia" w:ascii="宋体" w:hAnsi="宋体" w:eastAsia="宋体" w:cs="宋体"/>
                    <w:sz w:val="28"/>
                    <w:szCs w:val="28"/>
                  </w:rPr>
                  <w:fldChar w:fldCharType="begin"/>
                </w:r>
                <w:r>
                  <w:rPr>
                    <w:rStyle w:val="38"/>
                    <w:rFonts w:hint="eastAsia" w:ascii="宋体" w:hAnsi="宋体" w:eastAsia="宋体" w:cs="宋体"/>
                    <w:sz w:val="28"/>
                    <w:szCs w:val="28"/>
                  </w:rPr>
                  <w:instrText xml:space="preserve">PAGE  </w:instrText>
                </w:r>
                <w:r>
                  <w:rPr>
                    <w:rStyle w:val="38"/>
                    <w:rFonts w:hint="eastAsia" w:ascii="宋体" w:hAnsi="宋体" w:eastAsia="宋体" w:cs="宋体"/>
                    <w:sz w:val="28"/>
                    <w:szCs w:val="28"/>
                  </w:rPr>
                  <w:fldChar w:fldCharType="end"/>
                </w:r>
                <w:r>
                  <w:rPr>
                    <w:rStyle w:val="38"/>
                    <w:rFonts w:hint="eastAsia" w:ascii="宋体" w:hAnsi="宋体" w:eastAsia="宋体" w:cs="宋体"/>
                    <w:sz w:val="28"/>
                    <w:szCs w:val="28"/>
                    <w:lang w:val="en-US" w:eastAsia="zh-CN"/>
                  </w:rPr>
                  <w:t xml:space="preserve"> </w:t>
                </w:r>
                <w:r>
                  <w:rPr>
                    <w:rStyle w:val="38"/>
                    <w:rFonts w:hint="eastAsia" w:ascii="宋体" w:hAnsi="宋体" w:eastAsia="宋体" w:cs="宋体"/>
                    <w:sz w:val="28"/>
                    <w:szCs w:val="28"/>
                    <w:lang w:eastAsia="zh-CN"/>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0" o:spid="_x0000_s2050" o:spt="202" type="#_x0000_t202" style="position:absolute;left:0pt;margin-top:0pt;height:144pt;width:70.7pt;mso-position-horizontal:outside;mso-position-horizontal-relative:margin;z-index:251660288;mso-width-relative:page;mso-height-relative:page;" filled="f" stroked="f" coordsize="21600,21600">
          <v:path/>
          <v:fill on="f" focussize="0,0"/>
          <v:stroke on="f"/>
          <v:imagedata o:title=""/>
          <o:lock v:ext="edit" aspectratio="f"/>
          <v:textbox inset="0mm,0mm,0mm,0mm" style="mso-fit-shape-to-text:t;">
            <w:txbxContent>
              <w:p>
                <w:pPr>
                  <w:pStyle w:val="22"/>
                  <w:rPr>
                    <w:rFonts w:hint="eastAsia" w:ascii="宋体" w:hAnsi="宋体" w:eastAsia="宋体" w:cs="宋体"/>
                    <w:sz w:val="28"/>
                    <w:szCs w:val="28"/>
                    <w:lang w:val="en-US" w:eastAsia="zh-CN"/>
                  </w:rPr>
                </w:pPr>
                <w:r>
                  <w:rPr>
                    <w:rFonts w:hint="eastAsia" w:ascii="宋体" w:hAnsi="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6" o:spid="_x0000_s2056" o:spt="202" type="#_x0000_t202" style="position:absolute;left:0pt;margin-top:0pt;height:18.15pt;width:64.7pt;mso-position-horizontal:center;mso-position-horizontal-relative:margin;z-index:251665408;mso-width-relative:page;mso-height-relative:page;" filled="f" stroked="f" coordsize="21600,21600">
          <v:path/>
          <v:fill on="f" focussize="0,0"/>
          <v:stroke on="f"/>
          <v:imagedata o:title=""/>
          <o:lock v:ext="edit" aspectratio="f"/>
          <v:textbox inset="0mm,0mm,0mm,0mm">
            <w:txbxContent>
              <w:p>
                <w:pPr>
                  <w:pStyle w:val="2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7" o:spid="_x0000_s2057" o:spt="202" type="#_x0000_t202" style="position:absolute;left:0pt;margin-top:0pt;height:144pt;width:70.7pt;mso-position-horizontal:center;mso-position-horizontal-relative:margin;z-index:251666432;mso-width-relative:page;mso-height-relative:page;" filled="f" stroked="f" coordsize="21600,21600">
          <v:path/>
          <v:fill on="f" focussize="0,0"/>
          <v:stroke on="f"/>
          <v:imagedata o:title=""/>
          <o:lock v:ext="edit" aspectratio="f"/>
          <v:textbox inset="0mm,0mm,0mm,0mm" style="mso-fit-shape-to-text:t;">
            <w:txbxContent>
              <w:p>
                <w:pPr>
                  <w:pStyle w:val="22"/>
                  <w:rPr>
                    <w:rFonts w:hint="eastAsia" w:ascii="宋体" w:hAnsi="宋体" w:eastAsia="宋体" w:cs="宋体"/>
                    <w:sz w:val="28"/>
                    <w:szCs w:val="28"/>
                    <w:lang w:val="en-US" w:eastAsia="zh-CN"/>
                  </w:rPr>
                </w:pPr>
                <w:r>
                  <w:rPr>
                    <w:rFonts w:hint="eastAsia" w:ascii="宋体" w:hAnsi="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4" o:spid="_x0000_s2054" o:spt="202" type="#_x0000_t202" style="position:absolute;left:0pt;margin-top:0pt;height:18.15pt;width:64.7pt;mso-position-horizontal:center;mso-position-horizontal-relative:margin;z-index:251663360;mso-width-relative:page;mso-height-relative:page;" filled="f" stroked="f" coordsize="21600,21600">
          <v:path/>
          <v:fill on="f" focussize="0,0"/>
          <v:stroke on="f"/>
          <v:imagedata o:title=""/>
          <o:lock v:ext="edit" aspectratio="f"/>
          <v:textbox inset="0mm,0mm,0mm,0mm">
            <w:txbxContent>
              <w:p>
                <w:pPr>
                  <w:pStyle w:val="2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5" o:spid="_x0000_s2055" o:spt="202" type="#_x0000_t202" style="position:absolute;left:0pt;margin-top:0pt;height:144pt;width:70.7pt;mso-position-horizontal:center;mso-position-horizontal-relative:margin;z-index:251664384;mso-width-relative:page;mso-height-relative:page;" filled="f" stroked="f" coordsize="21600,21600">
          <v:path/>
          <v:fill on="f" focussize="0,0"/>
          <v:stroke on="f"/>
          <v:imagedata o:title=""/>
          <o:lock v:ext="edit" aspectratio="f"/>
          <v:textbox inset="0mm,0mm,0mm,0mm" style="mso-fit-shape-to-text:t;">
            <w:txbxContent>
              <w:p>
                <w:pPr>
                  <w:pStyle w:val="22"/>
                  <w:rPr>
                    <w:rFonts w:hint="eastAsia" w:ascii="宋体" w:hAnsi="宋体" w:eastAsia="宋体" w:cs="宋体"/>
                    <w:sz w:val="28"/>
                    <w:szCs w:val="28"/>
                    <w:lang w:val="en-US" w:eastAsia="zh-CN"/>
                  </w:rPr>
                </w:pPr>
                <w:r>
                  <w:rPr>
                    <w:rFonts w:hint="eastAsia" w:ascii="宋体" w:hAnsi="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8" o:spid="_x0000_s2058" o:spt="202" type="#_x0000_t202" style="position:absolute;left:0pt;margin-top:0pt;height:18.15pt;width:64.7pt;mso-position-horizontal:center;mso-position-horizontal-relative:margin;z-index:251667456;mso-width-relative:page;mso-height-relative:page;" filled="f" stroked="f" coordsize="21600,21600">
          <v:path/>
          <v:fill on="f" focussize="0,0"/>
          <v:stroke on="f"/>
          <v:imagedata o:title=""/>
          <o:lock v:ext="edit" aspectratio="f"/>
          <v:textbox inset="0mm,0mm,0mm,0mm">
            <w:txbxContent>
              <w:p>
                <w:pPr>
                  <w:pStyle w:val="2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59" o:spid="_x0000_s2059" o:spt="202" type="#_x0000_t202" style="position:absolute;left:0pt;margin-top:0pt;height:144pt;width:70.7pt;mso-position-horizontal:center;mso-position-horizontal-relative:margin;z-index:251668480;mso-width-relative:page;mso-height-relative:page;" filled="f" stroked="f" coordsize="21600,21600">
          <v:path/>
          <v:fill on="f" focussize="0,0"/>
          <v:stroke on="f"/>
          <v:imagedata o:title=""/>
          <o:lock v:ext="edit" aspectratio="f"/>
          <v:textbox inset="0mm,0mm,0mm,0mm" style="mso-fit-shape-to-text:t;">
            <w:txbxContent>
              <w:p>
                <w:pPr>
                  <w:pStyle w:val="22"/>
                  <w:rPr>
                    <w:rFonts w:hint="eastAsia" w:ascii="宋体" w:hAnsi="宋体" w:eastAsia="宋体" w:cs="宋体"/>
                    <w:sz w:val="28"/>
                    <w:szCs w:val="28"/>
                    <w:lang w:val="en-US" w:eastAsia="zh-CN"/>
                  </w:rPr>
                </w:pPr>
                <w:r>
                  <w:rPr>
                    <w:rFonts w:hint="eastAsia" w:ascii="宋体" w:hAnsi="宋体"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20"/>
      </w:rPr>
      <w:pict>
        <v:shape id="_x0000_s2060" o:spid="_x0000_s2060" o:spt="202" type="#_x0000_t202" style="position:absolute;left:0pt;margin-left:377.55pt;margin-top:0pt;height:18.15pt;width:64.7pt;mso-position-horizontal-relative:margin;z-index:251669504;mso-width-relative:page;mso-height-relative:page;" filled="f" stroked="f" coordsize="21600,21600">
          <v:path/>
          <v:fill on="f" focussize="0,0"/>
          <v:stroke on="f"/>
          <v:imagedata o:title=""/>
          <o:lock v:ext="edit" aspectratio="f"/>
          <v:textbox inset="0mm,0mm,0mm,0mm">
            <w:txbxContent>
              <w:p>
                <w:pPr>
                  <w:pStyle w:val="2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76" w:lineRule="auto"/>
      </w:pPr>
      <w:r>
        <w:separator/>
      </w:r>
    </w:p>
  </w:footnote>
  <w:footnote w:type="continuationSeparator" w:id="3">
    <w:p>
      <w:pPr>
        <w:spacing w:before="0" w:after="0" w:line="276" w:lineRule="auto"/>
      </w:pPr>
      <w:r>
        <w:continuationSeparator/>
      </w:r>
    </w:p>
  </w:footnote>
  <w:footnote w:id="0">
    <w:p>
      <w:pPr>
        <w:pStyle w:val="27"/>
      </w:pPr>
      <w:r>
        <w:rPr>
          <w:rStyle w:val="40"/>
        </w:rPr>
        <w:footnoteRef/>
      </w:r>
      <w:r>
        <w:rPr>
          <w:rFonts w:hint="eastAsia"/>
        </w:rPr>
        <w:t>投入规模中已统计了退出的设备，即新增规模为净新增规模。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512CD"/>
    <w:multiLevelType w:val="multilevel"/>
    <w:tmpl w:val="052512CD"/>
    <w:lvl w:ilvl="0" w:tentative="0">
      <w:start w:val="1"/>
      <w:numFmt w:val="lowerLetter"/>
      <w:lvlText w:val="%1)"/>
      <w:lvlJc w:val="left"/>
      <w:pPr>
        <w:ind w:left="980" w:hanging="420"/>
      </w:pPr>
      <w:rPr>
        <w:rFonts w:hint="default"/>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
    <w:nsid w:val="058D22A4"/>
    <w:multiLevelType w:val="multilevel"/>
    <w:tmpl w:val="058D22A4"/>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26B3718"/>
    <w:multiLevelType w:val="multilevel"/>
    <w:tmpl w:val="126B3718"/>
    <w:lvl w:ilvl="0" w:tentative="0">
      <w:start w:val="1"/>
      <w:numFmt w:val="bullet"/>
      <w:lvlText w:val="-"/>
      <w:lvlJc w:val="left"/>
      <w:pPr>
        <w:ind w:left="980" w:hanging="420"/>
      </w:pPr>
      <w:rPr>
        <w:rFonts w:hint="default" w:ascii="Wide Latin" w:hAnsi="Wide Latin"/>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3">
    <w:nsid w:val="138055A0"/>
    <w:multiLevelType w:val="multilevel"/>
    <w:tmpl w:val="138055A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89B3A93"/>
    <w:multiLevelType w:val="multilevel"/>
    <w:tmpl w:val="189B3A93"/>
    <w:lvl w:ilvl="0" w:tentative="0">
      <w:start w:val="1"/>
      <w:numFmt w:val="bullet"/>
      <w:lvlText w:val="-"/>
      <w:lvlJc w:val="left"/>
      <w:pPr>
        <w:ind w:left="987" w:hanging="420"/>
      </w:pPr>
      <w:rPr>
        <w:rFonts w:hint="default" w:ascii="Wide Latin" w:hAnsi="Wide Latin"/>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5">
    <w:nsid w:val="198A09AC"/>
    <w:multiLevelType w:val="multilevel"/>
    <w:tmpl w:val="198A09AC"/>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19B44F7B"/>
    <w:multiLevelType w:val="multilevel"/>
    <w:tmpl w:val="19B44F7B"/>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218D521B"/>
    <w:multiLevelType w:val="multilevel"/>
    <w:tmpl w:val="218D521B"/>
    <w:lvl w:ilvl="0" w:tentative="0">
      <w:start w:val="1"/>
      <w:numFmt w:val="bullet"/>
      <w:lvlText w:val="-"/>
      <w:lvlJc w:val="left"/>
      <w:pPr>
        <w:ind w:left="1260" w:hanging="420"/>
      </w:pPr>
      <w:rPr>
        <w:rFonts w:hint="default" w:ascii="Wide Latin" w:hAnsi="Wide Latin"/>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22F953BD"/>
    <w:multiLevelType w:val="multilevel"/>
    <w:tmpl w:val="22F953BD"/>
    <w:lvl w:ilvl="0" w:tentative="0">
      <w:start w:val="1"/>
      <w:numFmt w:val="bullet"/>
      <w:lvlText w:val="-"/>
      <w:lvlJc w:val="left"/>
      <w:pPr>
        <w:ind w:left="984" w:hanging="420"/>
      </w:pPr>
      <w:rPr>
        <w:rFonts w:hint="default" w:ascii="Wide Latin" w:hAnsi="Wide Latin"/>
      </w:rPr>
    </w:lvl>
    <w:lvl w:ilvl="1" w:tentative="0">
      <w:start w:val="1"/>
      <w:numFmt w:val="bullet"/>
      <w:lvlText w:val=""/>
      <w:lvlJc w:val="left"/>
      <w:pPr>
        <w:ind w:left="1404" w:hanging="420"/>
      </w:pPr>
      <w:rPr>
        <w:rFonts w:hint="default" w:ascii="Wingdings" w:hAnsi="Wingdings"/>
      </w:rPr>
    </w:lvl>
    <w:lvl w:ilvl="2" w:tentative="0">
      <w:start w:val="1"/>
      <w:numFmt w:val="bullet"/>
      <w:lvlText w:val=""/>
      <w:lvlJc w:val="left"/>
      <w:pPr>
        <w:ind w:left="1824" w:hanging="420"/>
      </w:pPr>
      <w:rPr>
        <w:rFonts w:hint="default" w:ascii="Wingdings" w:hAnsi="Wingdings"/>
      </w:rPr>
    </w:lvl>
    <w:lvl w:ilvl="3" w:tentative="0">
      <w:start w:val="1"/>
      <w:numFmt w:val="bullet"/>
      <w:lvlText w:val=""/>
      <w:lvlJc w:val="left"/>
      <w:pPr>
        <w:ind w:left="2244" w:hanging="420"/>
      </w:pPr>
      <w:rPr>
        <w:rFonts w:hint="default" w:ascii="Wingdings" w:hAnsi="Wingdings"/>
      </w:rPr>
    </w:lvl>
    <w:lvl w:ilvl="4" w:tentative="0">
      <w:start w:val="1"/>
      <w:numFmt w:val="bullet"/>
      <w:lvlText w:val=""/>
      <w:lvlJc w:val="left"/>
      <w:pPr>
        <w:ind w:left="2664" w:hanging="420"/>
      </w:pPr>
      <w:rPr>
        <w:rFonts w:hint="default" w:ascii="Wingdings" w:hAnsi="Wingdings"/>
      </w:rPr>
    </w:lvl>
    <w:lvl w:ilvl="5" w:tentative="0">
      <w:start w:val="1"/>
      <w:numFmt w:val="bullet"/>
      <w:lvlText w:val=""/>
      <w:lvlJc w:val="left"/>
      <w:pPr>
        <w:ind w:left="3084" w:hanging="420"/>
      </w:pPr>
      <w:rPr>
        <w:rFonts w:hint="default" w:ascii="Wingdings" w:hAnsi="Wingdings"/>
      </w:rPr>
    </w:lvl>
    <w:lvl w:ilvl="6" w:tentative="0">
      <w:start w:val="1"/>
      <w:numFmt w:val="bullet"/>
      <w:lvlText w:val=""/>
      <w:lvlJc w:val="left"/>
      <w:pPr>
        <w:ind w:left="3504" w:hanging="420"/>
      </w:pPr>
      <w:rPr>
        <w:rFonts w:hint="default" w:ascii="Wingdings" w:hAnsi="Wingdings"/>
      </w:rPr>
    </w:lvl>
    <w:lvl w:ilvl="7" w:tentative="0">
      <w:start w:val="1"/>
      <w:numFmt w:val="bullet"/>
      <w:lvlText w:val=""/>
      <w:lvlJc w:val="left"/>
      <w:pPr>
        <w:ind w:left="3924" w:hanging="420"/>
      </w:pPr>
      <w:rPr>
        <w:rFonts w:hint="default" w:ascii="Wingdings" w:hAnsi="Wingdings"/>
      </w:rPr>
    </w:lvl>
    <w:lvl w:ilvl="8" w:tentative="0">
      <w:start w:val="1"/>
      <w:numFmt w:val="bullet"/>
      <w:lvlText w:val=""/>
      <w:lvlJc w:val="left"/>
      <w:pPr>
        <w:ind w:left="4344" w:hanging="420"/>
      </w:pPr>
      <w:rPr>
        <w:rFonts w:hint="default" w:ascii="Wingdings" w:hAnsi="Wingdings"/>
      </w:rPr>
    </w:lvl>
  </w:abstractNum>
  <w:abstractNum w:abstractNumId="9">
    <w:nsid w:val="2A3851F0"/>
    <w:multiLevelType w:val="multilevel"/>
    <w:tmpl w:val="2A3851F0"/>
    <w:lvl w:ilvl="0" w:tentative="0">
      <w:start w:val="1"/>
      <w:numFmt w:val="bullet"/>
      <w:lvlText w:val="-"/>
      <w:lvlJc w:val="left"/>
      <w:pPr>
        <w:ind w:left="982" w:hanging="420"/>
      </w:pPr>
      <w:rPr>
        <w:rFonts w:hint="default" w:ascii="Wide Latin" w:hAnsi="Wide Latin"/>
      </w:rPr>
    </w:lvl>
    <w:lvl w:ilvl="1" w:tentative="0">
      <w:start w:val="1"/>
      <w:numFmt w:val="bullet"/>
      <w:lvlText w:val=""/>
      <w:lvlJc w:val="left"/>
      <w:pPr>
        <w:ind w:left="1402" w:hanging="420"/>
      </w:pPr>
      <w:rPr>
        <w:rFonts w:hint="default" w:ascii="Wingdings" w:hAnsi="Wingdings"/>
      </w:rPr>
    </w:lvl>
    <w:lvl w:ilvl="2" w:tentative="0">
      <w:start w:val="1"/>
      <w:numFmt w:val="bullet"/>
      <w:lvlText w:val=""/>
      <w:lvlJc w:val="left"/>
      <w:pPr>
        <w:ind w:left="1822" w:hanging="420"/>
      </w:pPr>
      <w:rPr>
        <w:rFonts w:hint="default" w:ascii="Wingdings" w:hAnsi="Wingdings"/>
      </w:rPr>
    </w:lvl>
    <w:lvl w:ilvl="3" w:tentative="0">
      <w:start w:val="1"/>
      <w:numFmt w:val="bullet"/>
      <w:lvlText w:val=""/>
      <w:lvlJc w:val="left"/>
      <w:pPr>
        <w:ind w:left="2242" w:hanging="420"/>
      </w:pPr>
      <w:rPr>
        <w:rFonts w:hint="default" w:ascii="Wingdings" w:hAnsi="Wingdings"/>
      </w:rPr>
    </w:lvl>
    <w:lvl w:ilvl="4" w:tentative="0">
      <w:start w:val="1"/>
      <w:numFmt w:val="bullet"/>
      <w:lvlText w:val=""/>
      <w:lvlJc w:val="left"/>
      <w:pPr>
        <w:ind w:left="2662" w:hanging="420"/>
      </w:pPr>
      <w:rPr>
        <w:rFonts w:hint="default" w:ascii="Wingdings" w:hAnsi="Wingdings"/>
      </w:rPr>
    </w:lvl>
    <w:lvl w:ilvl="5" w:tentative="0">
      <w:start w:val="1"/>
      <w:numFmt w:val="bullet"/>
      <w:lvlText w:val=""/>
      <w:lvlJc w:val="left"/>
      <w:pPr>
        <w:ind w:left="3082" w:hanging="420"/>
      </w:pPr>
      <w:rPr>
        <w:rFonts w:hint="default" w:ascii="Wingdings" w:hAnsi="Wingdings"/>
      </w:rPr>
    </w:lvl>
    <w:lvl w:ilvl="6" w:tentative="0">
      <w:start w:val="1"/>
      <w:numFmt w:val="bullet"/>
      <w:lvlText w:val=""/>
      <w:lvlJc w:val="left"/>
      <w:pPr>
        <w:ind w:left="3502" w:hanging="420"/>
      </w:pPr>
      <w:rPr>
        <w:rFonts w:hint="default" w:ascii="Wingdings" w:hAnsi="Wingdings"/>
      </w:rPr>
    </w:lvl>
    <w:lvl w:ilvl="7" w:tentative="0">
      <w:start w:val="1"/>
      <w:numFmt w:val="bullet"/>
      <w:lvlText w:val=""/>
      <w:lvlJc w:val="left"/>
      <w:pPr>
        <w:ind w:left="3922" w:hanging="420"/>
      </w:pPr>
      <w:rPr>
        <w:rFonts w:hint="default" w:ascii="Wingdings" w:hAnsi="Wingdings"/>
      </w:rPr>
    </w:lvl>
    <w:lvl w:ilvl="8" w:tentative="0">
      <w:start w:val="1"/>
      <w:numFmt w:val="bullet"/>
      <w:lvlText w:val=""/>
      <w:lvlJc w:val="left"/>
      <w:pPr>
        <w:ind w:left="4342" w:hanging="420"/>
      </w:pPr>
      <w:rPr>
        <w:rFonts w:hint="default" w:ascii="Wingdings" w:hAnsi="Wingdings"/>
      </w:rPr>
    </w:lvl>
  </w:abstractNum>
  <w:abstractNum w:abstractNumId="10">
    <w:nsid w:val="2D9C7E16"/>
    <w:multiLevelType w:val="multilevel"/>
    <w:tmpl w:val="2D9C7E1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31110727"/>
    <w:multiLevelType w:val="multilevel"/>
    <w:tmpl w:val="31110727"/>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32552D3B"/>
    <w:multiLevelType w:val="multilevel"/>
    <w:tmpl w:val="32552D3B"/>
    <w:lvl w:ilvl="0" w:tentative="0">
      <w:start w:val="1"/>
      <w:numFmt w:val="lowerLetter"/>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32AF19ED"/>
    <w:multiLevelType w:val="multilevel"/>
    <w:tmpl w:val="32AF19ED"/>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33114887"/>
    <w:multiLevelType w:val="multilevel"/>
    <w:tmpl w:val="33114887"/>
    <w:lvl w:ilvl="0" w:tentative="0">
      <w:start w:val="1"/>
      <w:numFmt w:val="bullet"/>
      <w:lvlText w:val="-"/>
      <w:lvlJc w:val="left"/>
      <w:pPr>
        <w:ind w:left="900" w:hanging="420"/>
      </w:pPr>
      <w:rPr>
        <w:rFonts w:hint="default" w:ascii="Wide Latin" w:hAnsi="Wide Lati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5">
    <w:nsid w:val="412A29EC"/>
    <w:multiLevelType w:val="multilevel"/>
    <w:tmpl w:val="412A29E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432223E3"/>
    <w:multiLevelType w:val="multilevel"/>
    <w:tmpl w:val="432223E3"/>
    <w:lvl w:ilvl="0" w:tentative="0">
      <w:start w:val="1"/>
      <w:numFmt w:val="bullet"/>
      <w:lvlText w:val="-"/>
      <w:lvlJc w:val="left"/>
      <w:pPr>
        <w:ind w:left="1260" w:hanging="420"/>
      </w:pPr>
      <w:rPr>
        <w:rFonts w:hint="default" w:ascii="Wide Latin" w:hAnsi="Wide Latin"/>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7">
    <w:nsid w:val="45D957EB"/>
    <w:multiLevelType w:val="multilevel"/>
    <w:tmpl w:val="45D957EB"/>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8">
    <w:nsid w:val="485234A7"/>
    <w:multiLevelType w:val="multilevel"/>
    <w:tmpl w:val="485234A7"/>
    <w:lvl w:ilvl="0" w:tentative="0">
      <w:start w:val="1"/>
      <w:numFmt w:val="bullet"/>
      <w:lvlText w:val="-"/>
      <w:lvlJc w:val="left"/>
      <w:pPr>
        <w:ind w:left="900" w:hanging="420"/>
      </w:pPr>
      <w:rPr>
        <w:rFonts w:hint="default" w:ascii="Wide Latin" w:hAnsi="Wide Lati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9">
    <w:nsid w:val="4C150647"/>
    <w:multiLevelType w:val="multilevel"/>
    <w:tmpl w:val="4C150647"/>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0">
    <w:nsid w:val="4F635FB4"/>
    <w:multiLevelType w:val="multilevel"/>
    <w:tmpl w:val="4F635FB4"/>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1">
    <w:nsid w:val="5B8A176C"/>
    <w:multiLevelType w:val="multilevel"/>
    <w:tmpl w:val="5B8A176C"/>
    <w:lvl w:ilvl="0" w:tentative="0">
      <w:start w:val="3"/>
      <w:numFmt w:val="decimal"/>
      <w:lvlText w:val="%1"/>
      <w:lvlJc w:val="left"/>
      <w:pPr>
        <w:ind w:left="456" w:hanging="456"/>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520" w:hanging="2520"/>
      </w:pPr>
      <w:rPr>
        <w:rFonts w:hint="default"/>
      </w:rPr>
    </w:lvl>
  </w:abstractNum>
  <w:abstractNum w:abstractNumId="22">
    <w:nsid w:val="61123ECD"/>
    <w:multiLevelType w:val="multilevel"/>
    <w:tmpl w:val="61123ECD"/>
    <w:lvl w:ilvl="0" w:tentative="0">
      <w:start w:val="1"/>
      <w:numFmt w:val="bullet"/>
      <w:lvlText w:val="-"/>
      <w:lvlJc w:val="left"/>
      <w:pPr>
        <w:ind w:left="980" w:hanging="420"/>
      </w:pPr>
      <w:rPr>
        <w:rFonts w:hint="default" w:ascii="Wide Latin" w:hAnsi="Wide Latin"/>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3">
    <w:nsid w:val="63230C11"/>
    <w:multiLevelType w:val="multilevel"/>
    <w:tmpl w:val="63230C11"/>
    <w:lvl w:ilvl="0" w:tentative="0">
      <w:start w:val="1"/>
      <w:numFmt w:val="bullet"/>
      <w:lvlText w:val="-"/>
      <w:lvlJc w:val="left"/>
      <w:pPr>
        <w:ind w:left="987" w:hanging="420"/>
      </w:pPr>
      <w:rPr>
        <w:rFonts w:hint="default" w:ascii="Wide Latin" w:hAnsi="Wide Latin"/>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24">
    <w:nsid w:val="64A131F4"/>
    <w:multiLevelType w:val="multilevel"/>
    <w:tmpl w:val="64A131F4"/>
    <w:lvl w:ilvl="0" w:tentative="0">
      <w:start w:val="1"/>
      <w:numFmt w:val="bullet"/>
      <w:lvlText w:val="-"/>
      <w:lvlJc w:val="left"/>
      <w:pPr>
        <w:ind w:left="972" w:hanging="420"/>
      </w:pPr>
      <w:rPr>
        <w:rFonts w:hint="default" w:ascii="Wide Latin" w:hAnsi="Wide Latin"/>
      </w:rPr>
    </w:lvl>
    <w:lvl w:ilvl="1" w:tentative="0">
      <w:start w:val="1"/>
      <w:numFmt w:val="bullet"/>
      <w:lvlText w:val=""/>
      <w:lvlJc w:val="left"/>
      <w:pPr>
        <w:ind w:left="1392" w:hanging="420"/>
      </w:pPr>
      <w:rPr>
        <w:rFonts w:hint="default" w:ascii="Wingdings" w:hAnsi="Wingdings"/>
      </w:rPr>
    </w:lvl>
    <w:lvl w:ilvl="2" w:tentative="0">
      <w:start w:val="1"/>
      <w:numFmt w:val="bullet"/>
      <w:lvlText w:val=""/>
      <w:lvlJc w:val="left"/>
      <w:pPr>
        <w:ind w:left="1812" w:hanging="420"/>
      </w:pPr>
      <w:rPr>
        <w:rFonts w:hint="default" w:ascii="Wingdings" w:hAnsi="Wingdings"/>
      </w:rPr>
    </w:lvl>
    <w:lvl w:ilvl="3" w:tentative="0">
      <w:start w:val="1"/>
      <w:numFmt w:val="bullet"/>
      <w:lvlText w:val=""/>
      <w:lvlJc w:val="left"/>
      <w:pPr>
        <w:ind w:left="2232" w:hanging="420"/>
      </w:pPr>
      <w:rPr>
        <w:rFonts w:hint="default" w:ascii="Wingdings" w:hAnsi="Wingdings"/>
      </w:rPr>
    </w:lvl>
    <w:lvl w:ilvl="4" w:tentative="0">
      <w:start w:val="1"/>
      <w:numFmt w:val="bullet"/>
      <w:lvlText w:val=""/>
      <w:lvlJc w:val="left"/>
      <w:pPr>
        <w:ind w:left="2652" w:hanging="420"/>
      </w:pPr>
      <w:rPr>
        <w:rFonts w:hint="default" w:ascii="Wingdings" w:hAnsi="Wingdings"/>
      </w:rPr>
    </w:lvl>
    <w:lvl w:ilvl="5" w:tentative="0">
      <w:start w:val="1"/>
      <w:numFmt w:val="bullet"/>
      <w:lvlText w:val=""/>
      <w:lvlJc w:val="left"/>
      <w:pPr>
        <w:ind w:left="3072" w:hanging="420"/>
      </w:pPr>
      <w:rPr>
        <w:rFonts w:hint="default" w:ascii="Wingdings" w:hAnsi="Wingdings"/>
      </w:rPr>
    </w:lvl>
    <w:lvl w:ilvl="6" w:tentative="0">
      <w:start w:val="1"/>
      <w:numFmt w:val="bullet"/>
      <w:lvlText w:val=""/>
      <w:lvlJc w:val="left"/>
      <w:pPr>
        <w:ind w:left="3492" w:hanging="420"/>
      </w:pPr>
      <w:rPr>
        <w:rFonts w:hint="default" w:ascii="Wingdings" w:hAnsi="Wingdings"/>
      </w:rPr>
    </w:lvl>
    <w:lvl w:ilvl="7" w:tentative="0">
      <w:start w:val="1"/>
      <w:numFmt w:val="bullet"/>
      <w:lvlText w:val=""/>
      <w:lvlJc w:val="left"/>
      <w:pPr>
        <w:ind w:left="3912" w:hanging="420"/>
      </w:pPr>
      <w:rPr>
        <w:rFonts w:hint="default" w:ascii="Wingdings" w:hAnsi="Wingdings"/>
      </w:rPr>
    </w:lvl>
    <w:lvl w:ilvl="8" w:tentative="0">
      <w:start w:val="1"/>
      <w:numFmt w:val="bullet"/>
      <w:lvlText w:val=""/>
      <w:lvlJc w:val="left"/>
      <w:pPr>
        <w:ind w:left="4332" w:hanging="420"/>
      </w:pPr>
      <w:rPr>
        <w:rFonts w:hint="default" w:ascii="Wingdings" w:hAnsi="Wingdings"/>
      </w:rPr>
    </w:lvl>
  </w:abstractNum>
  <w:abstractNum w:abstractNumId="25">
    <w:nsid w:val="657D285C"/>
    <w:multiLevelType w:val="multilevel"/>
    <w:tmpl w:val="657D285C"/>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6">
    <w:nsid w:val="6F4B5286"/>
    <w:multiLevelType w:val="multilevel"/>
    <w:tmpl w:val="6F4B5286"/>
    <w:lvl w:ilvl="0" w:tentative="0">
      <w:start w:val="1"/>
      <w:numFmt w:val="decimal"/>
      <w:lvlText w:val="（%1）"/>
      <w:lvlJc w:val="left"/>
      <w:pPr>
        <w:ind w:left="2705" w:hanging="720"/>
      </w:pPr>
      <w:rPr>
        <w:rFonts w:hint="default"/>
      </w:rPr>
    </w:lvl>
    <w:lvl w:ilvl="1" w:tentative="0">
      <w:start w:val="1"/>
      <w:numFmt w:val="lowerLetter"/>
      <w:lvlText w:val="%2)"/>
      <w:lvlJc w:val="left"/>
      <w:pPr>
        <w:ind w:left="2825" w:hanging="420"/>
      </w:pPr>
    </w:lvl>
    <w:lvl w:ilvl="2" w:tentative="0">
      <w:start w:val="1"/>
      <w:numFmt w:val="lowerRoman"/>
      <w:lvlText w:val="%3."/>
      <w:lvlJc w:val="right"/>
      <w:pPr>
        <w:ind w:left="3245" w:hanging="420"/>
      </w:pPr>
    </w:lvl>
    <w:lvl w:ilvl="3" w:tentative="0">
      <w:start w:val="1"/>
      <w:numFmt w:val="decimal"/>
      <w:lvlText w:val="%4."/>
      <w:lvlJc w:val="left"/>
      <w:pPr>
        <w:ind w:left="3665" w:hanging="420"/>
      </w:pPr>
    </w:lvl>
    <w:lvl w:ilvl="4" w:tentative="0">
      <w:start w:val="1"/>
      <w:numFmt w:val="lowerLetter"/>
      <w:lvlText w:val="%5)"/>
      <w:lvlJc w:val="left"/>
      <w:pPr>
        <w:ind w:left="4085" w:hanging="420"/>
      </w:pPr>
    </w:lvl>
    <w:lvl w:ilvl="5" w:tentative="0">
      <w:start w:val="1"/>
      <w:numFmt w:val="lowerRoman"/>
      <w:lvlText w:val="%6."/>
      <w:lvlJc w:val="right"/>
      <w:pPr>
        <w:ind w:left="4505" w:hanging="420"/>
      </w:pPr>
    </w:lvl>
    <w:lvl w:ilvl="6" w:tentative="0">
      <w:start w:val="1"/>
      <w:numFmt w:val="decimal"/>
      <w:lvlText w:val="%7."/>
      <w:lvlJc w:val="left"/>
      <w:pPr>
        <w:ind w:left="4925" w:hanging="420"/>
      </w:pPr>
    </w:lvl>
    <w:lvl w:ilvl="7" w:tentative="0">
      <w:start w:val="1"/>
      <w:numFmt w:val="lowerLetter"/>
      <w:lvlText w:val="%8)"/>
      <w:lvlJc w:val="left"/>
      <w:pPr>
        <w:ind w:left="5345" w:hanging="420"/>
      </w:pPr>
    </w:lvl>
    <w:lvl w:ilvl="8" w:tentative="0">
      <w:start w:val="1"/>
      <w:numFmt w:val="lowerRoman"/>
      <w:lvlText w:val="%9."/>
      <w:lvlJc w:val="right"/>
      <w:pPr>
        <w:ind w:left="5765" w:hanging="420"/>
      </w:pPr>
    </w:lvl>
  </w:abstractNum>
  <w:abstractNum w:abstractNumId="27">
    <w:nsid w:val="7B8617B2"/>
    <w:multiLevelType w:val="multilevel"/>
    <w:tmpl w:val="7B8617B2"/>
    <w:lvl w:ilvl="0" w:tentative="0">
      <w:start w:val="1"/>
      <w:numFmt w:val="bullet"/>
      <w:lvlText w:val="-"/>
      <w:lvlJc w:val="left"/>
      <w:pPr>
        <w:ind w:left="840" w:hanging="420"/>
      </w:pPr>
      <w:rPr>
        <w:rFonts w:hint="default" w:ascii="Wide Latin" w:hAnsi="Wide Lati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8">
    <w:nsid w:val="7E474D71"/>
    <w:multiLevelType w:val="multilevel"/>
    <w:tmpl w:val="7E474D71"/>
    <w:lvl w:ilvl="0" w:tentative="0">
      <w:start w:val="1"/>
      <w:numFmt w:val="bullet"/>
      <w:lvlText w:val="-"/>
      <w:lvlJc w:val="left"/>
      <w:pPr>
        <w:ind w:left="1400" w:hanging="420"/>
      </w:pPr>
      <w:rPr>
        <w:rFonts w:hint="default" w:ascii="Wide Latin" w:hAnsi="Wide Latin"/>
      </w:rPr>
    </w:lvl>
    <w:lvl w:ilvl="1" w:tentative="0">
      <w:start w:val="1"/>
      <w:numFmt w:val="bullet"/>
      <w:lvlText w:val=""/>
      <w:lvlJc w:val="left"/>
      <w:pPr>
        <w:ind w:left="1820" w:hanging="420"/>
      </w:pPr>
      <w:rPr>
        <w:rFonts w:hint="default" w:ascii="Wingdings" w:hAnsi="Wingdings"/>
      </w:rPr>
    </w:lvl>
    <w:lvl w:ilvl="2" w:tentative="0">
      <w:start w:val="1"/>
      <w:numFmt w:val="bullet"/>
      <w:lvlText w:val=""/>
      <w:lvlJc w:val="left"/>
      <w:pPr>
        <w:ind w:left="2240" w:hanging="420"/>
      </w:pPr>
      <w:rPr>
        <w:rFonts w:hint="default" w:ascii="Wingdings" w:hAnsi="Wingdings"/>
      </w:rPr>
    </w:lvl>
    <w:lvl w:ilvl="3" w:tentative="0">
      <w:start w:val="1"/>
      <w:numFmt w:val="bullet"/>
      <w:lvlText w:val=""/>
      <w:lvlJc w:val="left"/>
      <w:pPr>
        <w:ind w:left="2660" w:hanging="420"/>
      </w:pPr>
      <w:rPr>
        <w:rFonts w:hint="default" w:ascii="Wingdings" w:hAnsi="Wingdings"/>
      </w:rPr>
    </w:lvl>
    <w:lvl w:ilvl="4" w:tentative="0">
      <w:start w:val="1"/>
      <w:numFmt w:val="bullet"/>
      <w:lvlText w:val=""/>
      <w:lvlJc w:val="left"/>
      <w:pPr>
        <w:ind w:left="3080" w:hanging="420"/>
      </w:pPr>
      <w:rPr>
        <w:rFonts w:hint="default" w:ascii="Wingdings" w:hAnsi="Wingdings"/>
      </w:rPr>
    </w:lvl>
    <w:lvl w:ilvl="5" w:tentative="0">
      <w:start w:val="1"/>
      <w:numFmt w:val="bullet"/>
      <w:lvlText w:val=""/>
      <w:lvlJc w:val="left"/>
      <w:pPr>
        <w:ind w:left="3500" w:hanging="420"/>
      </w:pPr>
      <w:rPr>
        <w:rFonts w:hint="default" w:ascii="Wingdings" w:hAnsi="Wingdings"/>
      </w:rPr>
    </w:lvl>
    <w:lvl w:ilvl="6" w:tentative="0">
      <w:start w:val="1"/>
      <w:numFmt w:val="bullet"/>
      <w:lvlText w:val=""/>
      <w:lvlJc w:val="left"/>
      <w:pPr>
        <w:ind w:left="3920" w:hanging="420"/>
      </w:pPr>
      <w:rPr>
        <w:rFonts w:hint="default" w:ascii="Wingdings" w:hAnsi="Wingdings"/>
      </w:rPr>
    </w:lvl>
    <w:lvl w:ilvl="7" w:tentative="0">
      <w:start w:val="1"/>
      <w:numFmt w:val="bullet"/>
      <w:lvlText w:val=""/>
      <w:lvlJc w:val="left"/>
      <w:pPr>
        <w:ind w:left="4340" w:hanging="420"/>
      </w:pPr>
      <w:rPr>
        <w:rFonts w:hint="default" w:ascii="Wingdings" w:hAnsi="Wingdings"/>
      </w:rPr>
    </w:lvl>
    <w:lvl w:ilvl="8" w:tentative="0">
      <w:start w:val="1"/>
      <w:numFmt w:val="bullet"/>
      <w:lvlText w:val=""/>
      <w:lvlJc w:val="left"/>
      <w:pPr>
        <w:ind w:left="4760" w:hanging="420"/>
      </w:pPr>
      <w:rPr>
        <w:rFonts w:hint="default" w:ascii="Wingdings" w:hAnsi="Wingdings"/>
      </w:rPr>
    </w:lvl>
  </w:abstractNum>
  <w:abstractNum w:abstractNumId="29">
    <w:nsid w:val="7E8C17C4"/>
    <w:multiLevelType w:val="multilevel"/>
    <w:tmpl w:val="7E8C17C4"/>
    <w:lvl w:ilvl="0" w:tentative="0">
      <w:start w:val="1"/>
      <w:numFmt w:val="bullet"/>
      <w:lvlText w:val="-"/>
      <w:lvlJc w:val="left"/>
      <w:pPr>
        <w:ind w:left="704" w:hanging="420"/>
      </w:pPr>
      <w:rPr>
        <w:rFonts w:hint="default" w:ascii="Wide Latin" w:hAnsi="Wide Lati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de Latin" w:hAnsi="Wide Latin"/>
      </w:rPr>
    </w:lvl>
    <w:lvl w:ilvl="3" w:tentative="0">
      <w:start w:val="1"/>
      <w:numFmt w:val="bullet"/>
      <w:lvlText w:val="-"/>
      <w:lvlJc w:val="left"/>
      <w:pPr>
        <w:ind w:left="1964" w:hanging="420"/>
      </w:pPr>
      <w:rPr>
        <w:rFonts w:hint="default" w:ascii="Wide Latin" w:hAnsi="Wide Latin"/>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10"/>
  </w:num>
  <w:num w:numId="2">
    <w:abstractNumId w:val="14"/>
  </w:num>
  <w:num w:numId="3">
    <w:abstractNumId w:val="18"/>
  </w:num>
  <w:num w:numId="4">
    <w:abstractNumId w:val="3"/>
  </w:num>
  <w:num w:numId="5">
    <w:abstractNumId w:val="15"/>
  </w:num>
  <w:num w:numId="6">
    <w:abstractNumId w:val="13"/>
  </w:num>
  <w:num w:numId="7">
    <w:abstractNumId w:val="26"/>
  </w:num>
  <w:num w:numId="8">
    <w:abstractNumId w:val="0"/>
  </w:num>
  <w:num w:numId="9">
    <w:abstractNumId w:val="28"/>
  </w:num>
  <w:num w:numId="10">
    <w:abstractNumId w:val="24"/>
  </w:num>
  <w:num w:numId="11">
    <w:abstractNumId w:val="21"/>
  </w:num>
  <w:num w:numId="12">
    <w:abstractNumId w:val="16"/>
  </w:num>
  <w:num w:numId="13">
    <w:abstractNumId w:val="7"/>
  </w:num>
  <w:num w:numId="14">
    <w:abstractNumId w:val="27"/>
  </w:num>
  <w:num w:numId="15">
    <w:abstractNumId w:val="9"/>
  </w:num>
  <w:num w:numId="16">
    <w:abstractNumId w:val="11"/>
  </w:num>
  <w:num w:numId="17">
    <w:abstractNumId w:val="12"/>
  </w:num>
  <w:num w:numId="18">
    <w:abstractNumId w:val="17"/>
  </w:num>
  <w:num w:numId="19">
    <w:abstractNumId w:val="5"/>
  </w:num>
  <w:num w:numId="20">
    <w:abstractNumId w:val="8"/>
  </w:num>
  <w:num w:numId="21">
    <w:abstractNumId w:val="2"/>
  </w:num>
  <w:num w:numId="22">
    <w:abstractNumId w:val="6"/>
  </w:num>
  <w:num w:numId="23">
    <w:abstractNumId w:val="22"/>
  </w:num>
  <w:num w:numId="24">
    <w:abstractNumId w:val="20"/>
  </w:num>
  <w:num w:numId="25">
    <w:abstractNumId w:val="4"/>
  </w:num>
  <w:num w:numId="26">
    <w:abstractNumId w:val="23"/>
  </w:num>
  <w:num w:numId="27">
    <w:abstractNumId w:val="25"/>
  </w:num>
  <w:num w:numId="28">
    <w:abstractNumId w:val="1"/>
  </w:num>
  <w:num w:numId="29">
    <w:abstractNumId w:val="29"/>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revisionView w:markup="0"/>
  <w:documentProtection w:enforcement="0"/>
  <w:defaultTabStop w:val="720"/>
  <w:evenAndOddHeaders w:val="1"/>
  <w:drawingGridHorizontalSpacing w:val="110"/>
  <w:drawingGridVerticalSpacing w:val="156"/>
  <w:displayHorizontalDrawingGridEvery w:val="2"/>
  <w:displayVerticalDrawingGridEvery w:val="2"/>
  <w:characterSpacingControl w:val="doNotCompress"/>
  <w:hdrShapeDefaults>
    <o:shapelayout v:ext="edit">
      <o:idmap v:ext="edit" data="2"/>
    </o:shapelayout>
  </w:hdrShapeDefaults>
  <w:footnotePr>
    <w:footnote w:id="2"/>
    <w:footnote w:id="3"/>
  </w:footnotePr>
  <w:endnotePr>
    <w:endnote w:id="0"/>
    <w:endnote w:id="1"/>
  </w:endnotePr>
  <w:compat>
    <w:useFELayout/>
    <w:compatSetting w:name="compatibilityMode" w:uri="http://schemas.microsoft.com/office/word" w:val="12"/>
  </w:compat>
  <w:docVars>
    <w:docVar w:name="commondata" w:val="eyJoZGlkIjoiZWE1Y2ZkZDEyNDk4YzJhZWU3MDY5Y2I3NDFmZDNlODQifQ=="/>
  </w:docVars>
  <w:rsids>
    <w:rsidRoot w:val="00841FE8"/>
    <w:rsid w:val="000008B2"/>
    <w:rsid w:val="00002506"/>
    <w:rsid w:val="00003113"/>
    <w:rsid w:val="00003C80"/>
    <w:rsid w:val="0000475F"/>
    <w:rsid w:val="00005605"/>
    <w:rsid w:val="000066CF"/>
    <w:rsid w:val="000070C4"/>
    <w:rsid w:val="000109EA"/>
    <w:rsid w:val="00010B21"/>
    <w:rsid w:val="00010F86"/>
    <w:rsid w:val="00011218"/>
    <w:rsid w:val="000122DF"/>
    <w:rsid w:val="00012C63"/>
    <w:rsid w:val="00012E4F"/>
    <w:rsid w:val="00015580"/>
    <w:rsid w:val="00015DBD"/>
    <w:rsid w:val="0001652C"/>
    <w:rsid w:val="00016FD5"/>
    <w:rsid w:val="0002041B"/>
    <w:rsid w:val="000209BF"/>
    <w:rsid w:val="00021653"/>
    <w:rsid w:val="0002263C"/>
    <w:rsid w:val="000247F3"/>
    <w:rsid w:val="000249E3"/>
    <w:rsid w:val="00024D94"/>
    <w:rsid w:val="00024F4D"/>
    <w:rsid w:val="00025143"/>
    <w:rsid w:val="00026837"/>
    <w:rsid w:val="00030E6B"/>
    <w:rsid w:val="000332CA"/>
    <w:rsid w:val="0003432B"/>
    <w:rsid w:val="00035836"/>
    <w:rsid w:val="00037A17"/>
    <w:rsid w:val="00037CC7"/>
    <w:rsid w:val="00037E7B"/>
    <w:rsid w:val="000419F6"/>
    <w:rsid w:val="00043319"/>
    <w:rsid w:val="00043C46"/>
    <w:rsid w:val="0004491D"/>
    <w:rsid w:val="00045DA9"/>
    <w:rsid w:val="00045F59"/>
    <w:rsid w:val="0005029B"/>
    <w:rsid w:val="0005045B"/>
    <w:rsid w:val="0005299B"/>
    <w:rsid w:val="00053E2E"/>
    <w:rsid w:val="00053FC2"/>
    <w:rsid w:val="00054322"/>
    <w:rsid w:val="00054586"/>
    <w:rsid w:val="00054BF7"/>
    <w:rsid w:val="00056189"/>
    <w:rsid w:val="0005786B"/>
    <w:rsid w:val="00060615"/>
    <w:rsid w:val="00064C13"/>
    <w:rsid w:val="0006712A"/>
    <w:rsid w:val="000674B5"/>
    <w:rsid w:val="00067D6A"/>
    <w:rsid w:val="00071B9C"/>
    <w:rsid w:val="00072146"/>
    <w:rsid w:val="00072E43"/>
    <w:rsid w:val="00073F92"/>
    <w:rsid w:val="00074D48"/>
    <w:rsid w:val="00076593"/>
    <w:rsid w:val="00076957"/>
    <w:rsid w:val="00077E77"/>
    <w:rsid w:val="00080D11"/>
    <w:rsid w:val="00081644"/>
    <w:rsid w:val="00082E24"/>
    <w:rsid w:val="00083140"/>
    <w:rsid w:val="00084A48"/>
    <w:rsid w:val="00087C2F"/>
    <w:rsid w:val="00087FD9"/>
    <w:rsid w:val="000904D0"/>
    <w:rsid w:val="00092DE8"/>
    <w:rsid w:val="00095874"/>
    <w:rsid w:val="000969F8"/>
    <w:rsid w:val="00096A9D"/>
    <w:rsid w:val="0009794C"/>
    <w:rsid w:val="000A0447"/>
    <w:rsid w:val="000A0645"/>
    <w:rsid w:val="000A1BAC"/>
    <w:rsid w:val="000A2019"/>
    <w:rsid w:val="000A204A"/>
    <w:rsid w:val="000A231D"/>
    <w:rsid w:val="000A27E5"/>
    <w:rsid w:val="000A2923"/>
    <w:rsid w:val="000A31DB"/>
    <w:rsid w:val="000B0330"/>
    <w:rsid w:val="000B0CD6"/>
    <w:rsid w:val="000B0D79"/>
    <w:rsid w:val="000B1642"/>
    <w:rsid w:val="000B1737"/>
    <w:rsid w:val="000B182C"/>
    <w:rsid w:val="000B2422"/>
    <w:rsid w:val="000B3620"/>
    <w:rsid w:val="000B4714"/>
    <w:rsid w:val="000B4BD1"/>
    <w:rsid w:val="000B4E97"/>
    <w:rsid w:val="000B509A"/>
    <w:rsid w:val="000B5DA9"/>
    <w:rsid w:val="000B7683"/>
    <w:rsid w:val="000B7A05"/>
    <w:rsid w:val="000C0953"/>
    <w:rsid w:val="000C26C8"/>
    <w:rsid w:val="000C316C"/>
    <w:rsid w:val="000C438E"/>
    <w:rsid w:val="000C4690"/>
    <w:rsid w:val="000C4D0B"/>
    <w:rsid w:val="000C4E10"/>
    <w:rsid w:val="000C661E"/>
    <w:rsid w:val="000D24C4"/>
    <w:rsid w:val="000D25BA"/>
    <w:rsid w:val="000D2CDE"/>
    <w:rsid w:val="000D3753"/>
    <w:rsid w:val="000D4BE6"/>
    <w:rsid w:val="000D5705"/>
    <w:rsid w:val="000D6E4A"/>
    <w:rsid w:val="000D72DA"/>
    <w:rsid w:val="000E19B9"/>
    <w:rsid w:val="000E21BA"/>
    <w:rsid w:val="000E2BDF"/>
    <w:rsid w:val="000E64F0"/>
    <w:rsid w:val="000E7410"/>
    <w:rsid w:val="000F00F6"/>
    <w:rsid w:val="000F0D8D"/>
    <w:rsid w:val="000F0E0C"/>
    <w:rsid w:val="000F1785"/>
    <w:rsid w:val="000F20D0"/>
    <w:rsid w:val="000F2659"/>
    <w:rsid w:val="000F3408"/>
    <w:rsid w:val="000F39B9"/>
    <w:rsid w:val="000F4FCC"/>
    <w:rsid w:val="000F6DC8"/>
    <w:rsid w:val="000F6F8B"/>
    <w:rsid w:val="00100FEE"/>
    <w:rsid w:val="0010198F"/>
    <w:rsid w:val="00101D73"/>
    <w:rsid w:val="00102831"/>
    <w:rsid w:val="001032D0"/>
    <w:rsid w:val="00104933"/>
    <w:rsid w:val="00105C91"/>
    <w:rsid w:val="00106FD3"/>
    <w:rsid w:val="00107A66"/>
    <w:rsid w:val="00107DA6"/>
    <w:rsid w:val="00110DD3"/>
    <w:rsid w:val="00111618"/>
    <w:rsid w:val="00111C9A"/>
    <w:rsid w:val="00112605"/>
    <w:rsid w:val="00113142"/>
    <w:rsid w:val="0011497D"/>
    <w:rsid w:val="00114F0A"/>
    <w:rsid w:val="00115B75"/>
    <w:rsid w:val="001177EF"/>
    <w:rsid w:val="00117F60"/>
    <w:rsid w:val="0012442E"/>
    <w:rsid w:val="00124882"/>
    <w:rsid w:val="00125E3A"/>
    <w:rsid w:val="0012612B"/>
    <w:rsid w:val="001263CC"/>
    <w:rsid w:val="001266FA"/>
    <w:rsid w:val="00127D41"/>
    <w:rsid w:val="00127E7C"/>
    <w:rsid w:val="001313D5"/>
    <w:rsid w:val="00131DAA"/>
    <w:rsid w:val="0013264C"/>
    <w:rsid w:val="00132977"/>
    <w:rsid w:val="00132FF6"/>
    <w:rsid w:val="0013404A"/>
    <w:rsid w:val="00137051"/>
    <w:rsid w:val="0013791D"/>
    <w:rsid w:val="00140348"/>
    <w:rsid w:val="0014135D"/>
    <w:rsid w:val="001413D0"/>
    <w:rsid w:val="00142001"/>
    <w:rsid w:val="001422DC"/>
    <w:rsid w:val="00142749"/>
    <w:rsid w:val="0014315B"/>
    <w:rsid w:val="00143434"/>
    <w:rsid w:val="001447DA"/>
    <w:rsid w:val="0014579F"/>
    <w:rsid w:val="00145DA5"/>
    <w:rsid w:val="00145E92"/>
    <w:rsid w:val="001460D1"/>
    <w:rsid w:val="001473DC"/>
    <w:rsid w:val="001476A5"/>
    <w:rsid w:val="00150992"/>
    <w:rsid w:val="00150AD0"/>
    <w:rsid w:val="00150B9D"/>
    <w:rsid w:val="0015132A"/>
    <w:rsid w:val="00152FE6"/>
    <w:rsid w:val="00154367"/>
    <w:rsid w:val="001553BD"/>
    <w:rsid w:val="00155B21"/>
    <w:rsid w:val="00155BD9"/>
    <w:rsid w:val="001567D6"/>
    <w:rsid w:val="00161223"/>
    <w:rsid w:val="001614BA"/>
    <w:rsid w:val="00161CAC"/>
    <w:rsid w:val="00162259"/>
    <w:rsid w:val="00162555"/>
    <w:rsid w:val="00162A37"/>
    <w:rsid w:val="00164B59"/>
    <w:rsid w:val="00165A80"/>
    <w:rsid w:val="00165CAB"/>
    <w:rsid w:val="00170589"/>
    <w:rsid w:val="00173F07"/>
    <w:rsid w:val="001772A1"/>
    <w:rsid w:val="00180897"/>
    <w:rsid w:val="00181953"/>
    <w:rsid w:val="00181E09"/>
    <w:rsid w:val="00181F00"/>
    <w:rsid w:val="001831C7"/>
    <w:rsid w:val="00183668"/>
    <w:rsid w:val="00183B98"/>
    <w:rsid w:val="00183FF3"/>
    <w:rsid w:val="00184C34"/>
    <w:rsid w:val="00185DA3"/>
    <w:rsid w:val="00186BC3"/>
    <w:rsid w:val="001873F3"/>
    <w:rsid w:val="00193062"/>
    <w:rsid w:val="00194435"/>
    <w:rsid w:val="0019677B"/>
    <w:rsid w:val="00196A72"/>
    <w:rsid w:val="00196BE4"/>
    <w:rsid w:val="001976FF"/>
    <w:rsid w:val="001A072A"/>
    <w:rsid w:val="001A074E"/>
    <w:rsid w:val="001A2735"/>
    <w:rsid w:val="001A2813"/>
    <w:rsid w:val="001A4C3D"/>
    <w:rsid w:val="001A52E1"/>
    <w:rsid w:val="001A5976"/>
    <w:rsid w:val="001A751F"/>
    <w:rsid w:val="001B28BE"/>
    <w:rsid w:val="001B3E13"/>
    <w:rsid w:val="001B7AC0"/>
    <w:rsid w:val="001C04F9"/>
    <w:rsid w:val="001C2147"/>
    <w:rsid w:val="001C4566"/>
    <w:rsid w:val="001C4A44"/>
    <w:rsid w:val="001D0219"/>
    <w:rsid w:val="001D1BCA"/>
    <w:rsid w:val="001D293B"/>
    <w:rsid w:val="001D2C0C"/>
    <w:rsid w:val="001D4DD2"/>
    <w:rsid w:val="001D5ABA"/>
    <w:rsid w:val="001D5BE8"/>
    <w:rsid w:val="001D6C35"/>
    <w:rsid w:val="001D704D"/>
    <w:rsid w:val="001D70B6"/>
    <w:rsid w:val="001D7632"/>
    <w:rsid w:val="001E01E0"/>
    <w:rsid w:val="001E0B9D"/>
    <w:rsid w:val="001E2A67"/>
    <w:rsid w:val="001E33A9"/>
    <w:rsid w:val="001E3688"/>
    <w:rsid w:val="001E4C4F"/>
    <w:rsid w:val="001E4E51"/>
    <w:rsid w:val="001E53BB"/>
    <w:rsid w:val="001E5798"/>
    <w:rsid w:val="001E638E"/>
    <w:rsid w:val="001F18B4"/>
    <w:rsid w:val="001F2334"/>
    <w:rsid w:val="001F52C9"/>
    <w:rsid w:val="001F5895"/>
    <w:rsid w:val="001F6024"/>
    <w:rsid w:val="001F6A37"/>
    <w:rsid w:val="001F6D21"/>
    <w:rsid w:val="001F7635"/>
    <w:rsid w:val="001F7A55"/>
    <w:rsid w:val="001F7C96"/>
    <w:rsid w:val="001F7F96"/>
    <w:rsid w:val="002017D0"/>
    <w:rsid w:val="00202B33"/>
    <w:rsid w:val="0020461B"/>
    <w:rsid w:val="00205EA5"/>
    <w:rsid w:val="00206394"/>
    <w:rsid w:val="002079F5"/>
    <w:rsid w:val="00210FBF"/>
    <w:rsid w:val="00211C5B"/>
    <w:rsid w:val="00212223"/>
    <w:rsid w:val="00212D20"/>
    <w:rsid w:val="00213327"/>
    <w:rsid w:val="00213340"/>
    <w:rsid w:val="00213D78"/>
    <w:rsid w:val="00216D92"/>
    <w:rsid w:val="00217C5B"/>
    <w:rsid w:val="00220A6E"/>
    <w:rsid w:val="00223360"/>
    <w:rsid w:val="00224191"/>
    <w:rsid w:val="00226A4B"/>
    <w:rsid w:val="00226FFF"/>
    <w:rsid w:val="0022745F"/>
    <w:rsid w:val="002304B7"/>
    <w:rsid w:val="00230666"/>
    <w:rsid w:val="00230FC4"/>
    <w:rsid w:val="0023252B"/>
    <w:rsid w:val="0023290F"/>
    <w:rsid w:val="00233829"/>
    <w:rsid w:val="00235AFC"/>
    <w:rsid w:val="00236A7B"/>
    <w:rsid w:val="0024038C"/>
    <w:rsid w:val="002403F5"/>
    <w:rsid w:val="00241BAF"/>
    <w:rsid w:val="00245DC5"/>
    <w:rsid w:val="00247A46"/>
    <w:rsid w:val="00251800"/>
    <w:rsid w:val="00251F5E"/>
    <w:rsid w:val="00252363"/>
    <w:rsid w:val="00252BA3"/>
    <w:rsid w:val="00252D3C"/>
    <w:rsid w:val="00254945"/>
    <w:rsid w:val="00255AB6"/>
    <w:rsid w:val="00257948"/>
    <w:rsid w:val="00257F40"/>
    <w:rsid w:val="002605D5"/>
    <w:rsid w:val="00260727"/>
    <w:rsid w:val="00261ABF"/>
    <w:rsid w:val="0026202D"/>
    <w:rsid w:val="002632FF"/>
    <w:rsid w:val="00263A80"/>
    <w:rsid w:val="00264173"/>
    <w:rsid w:val="00264ACA"/>
    <w:rsid w:val="00265D02"/>
    <w:rsid w:val="002666FE"/>
    <w:rsid w:val="002672B1"/>
    <w:rsid w:val="002672E0"/>
    <w:rsid w:val="0027110F"/>
    <w:rsid w:val="00272BAC"/>
    <w:rsid w:val="00273288"/>
    <w:rsid w:val="00275C6C"/>
    <w:rsid w:val="002827BE"/>
    <w:rsid w:val="002833D3"/>
    <w:rsid w:val="00283495"/>
    <w:rsid w:val="002835B1"/>
    <w:rsid w:val="002837A4"/>
    <w:rsid w:val="00286795"/>
    <w:rsid w:val="0029165D"/>
    <w:rsid w:val="00292DD3"/>
    <w:rsid w:val="00293B3A"/>
    <w:rsid w:val="00294BB3"/>
    <w:rsid w:val="0029567F"/>
    <w:rsid w:val="00295E43"/>
    <w:rsid w:val="00295E5D"/>
    <w:rsid w:val="002965B5"/>
    <w:rsid w:val="002969AA"/>
    <w:rsid w:val="00297E5A"/>
    <w:rsid w:val="002A3655"/>
    <w:rsid w:val="002A38AE"/>
    <w:rsid w:val="002A59F0"/>
    <w:rsid w:val="002A5CDC"/>
    <w:rsid w:val="002A7F60"/>
    <w:rsid w:val="002B00C3"/>
    <w:rsid w:val="002B3877"/>
    <w:rsid w:val="002B4595"/>
    <w:rsid w:val="002B5B3B"/>
    <w:rsid w:val="002B704E"/>
    <w:rsid w:val="002B725C"/>
    <w:rsid w:val="002B74D7"/>
    <w:rsid w:val="002B78E0"/>
    <w:rsid w:val="002B79D3"/>
    <w:rsid w:val="002B7B4B"/>
    <w:rsid w:val="002B7D89"/>
    <w:rsid w:val="002C050A"/>
    <w:rsid w:val="002C064A"/>
    <w:rsid w:val="002C26A4"/>
    <w:rsid w:val="002C39C9"/>
    <w:rsid w:val="002C401D"/>
    <w:rsid w:val="002C403E"/>
    <w:rsid w:val="002C4CAB"/>
    <w:rsid w:val="002C50AD"/>
    <w:rsid w:val="002C5E26"/>
    <w:rsid w:val="002C61CE"/>
    <w:rsid w:val="002C6535"/>
    <w:rsid w:val="002C6B58"/>
    <w:rsid w:val="002C7BBA"/>
    <w:rsid w:val="002D008B"/>
    <w:rsid w:val="002D00A7"/>
    <w:rsid w:val="002D3551"/>
    <w:rsid w:val="002D3667"/>
    <w:rsid w:val="002D4010"/>
    <w:rsid w:val="002D4CA9"/>
    <w:rsid w:val="002D7099"/>
    <w:rsid w:val="002E12B1"/>
    <w:rsid w:val="002E489D"/>
    <w:rsid w:val="002E48CE"/>
    <w:rsid w:val="002E4ADF"/>
    <w:rsid w:val="002E6F74"/>
    <w:rsid w:val="002E6F7E"/>
    <w:rsid w:val="002E7EA7"/>
    <w:rsid w:val="002F1455"/>
    <w:rsid w:val="002F312A"/>
    <w:rsid w:val="002F6EB9"/>
    <w:rsid w:val="002F7060"/>
    <w:rsid w:val="00300A2F"/>
    <w:rsid w:val="00302A98"/>
    <w:rsid w:val="00303EBD"/>
    <w:rsid w:val="00303FE1"/>
    <w:rsid w:val="00304EB0"/>
    <w:rsid w:val="00305E9F"/>
    <w:rsid w:val="003063F7"/>
    <w:rsid w:val="00306550"/>
    <w:rsid w:val="00306AF1"/>
    <w:rsid w:val="00306B87"/>
    <w:rsid w:val="0031053B"/>
    <w:rsid w:val="00315095"/>
    <w:rsid w:val="00315695"/>
    <w:rsid w:val="00315736"/>
    <w:rsid w:val="00316CA4"/>
    <w:rsid w:val="00317612"/>
    <w:rsid w:val="00317AE9"/>
    <w:rsid w:val="00320FDF"/>
    <w:rsid w:val="003217BF"/>
    <w:rsid w:val="0032183F"/>
    <w:rsid w:val="003226E1"/>
    <w:rsid w:val="00324421"/>
    <w:rsid w:val="0032570D"/>
    <w:rsid w:val="00326595"/>
    <w:rsid w:val="00333002"/>
    <w:rsid w:val="003330AD"/>
    <w:rsid w:val="00334275"/>
    <w:rsid w:val="003364B4"/>
    <w:rsid w:val="00337A4F"/>
    <w:rsid w:val="003403CA"/>
    <w:rsid w:val="0034188A"/>
    <w:rsid w:val="003419B8"/>
    <w:rsid w:val="003431B7"/>
    <w:rsid w:val="003433DB"/>
    <w:rsid w:val="00343BBC"/>
    <w:rsid w:val="00344E27"/>
    <w:rsid w:val="00345657"/>
    <w:rsid w:val="0034621D"/>
    <w:rsid w:val="003463B7"/>
    <w:rsid w:val="00347C50"/>
    <w:rsid w:val="003510FE"/>
    <w:rsid w:val="0035183D"/>
    <w:rsid w:val="0035378F"/>
    <w:rsid w:val="00355E9C"/>
    <w:rsid w:val="00356004"/>
    <w:rsid w:val="00356CC6"/>
    <w:rsid w:val="0036004F"/>
    <w:rsid w:val="00361FF8"/>
    <w:rsid w:val="00362013"/>
    <w:rsid w:val="0036617D"/>
    <w:rsid w:val="00366ACD"/>
    <w:rsid w:val="0036757B"/>
    <w:rsid w:val="00370198"/>
    <w:rsid w:val="003716AC"/>
    <w:rsid w:val="003730D5"/>
    <w:rsid w:val="0037376C"/>
    <w:rsid w:val="0037648A"/>
    <w:rsid w:val="0037754D"/>
    <w:rsid w:val="00377D45"/>
    <w:rsid w:val="00377E92"/>
    <w:rsid w:val="00377EFE"/>
    <w:rsid w:val="00380447"/>
    <w:rsid w:val="003813EE"/>
    <w:rsid w:val="00382825"/>
    <w:rsid w:val="00382D4D"/>
    <w:rsid w:val="003843CC"/>
    <w:rsid w:val="00384C56"/>
    <w:rsid w:val="00386FDB"/>
    <w:rsid w:val="00387C79"/>
    <w:rsid w:val="00390FDD"/>
    <w:rsid w:val="0039342D"/>
    <w:rsid w:val="00394C73"/>
    <w:rsid w:val="00394D2D"/>
    <w:rsid w:val="00395B25"/>
    <w:rsid w:val="003971C3"/>
    <w:rsid w:val="00397371"/>
    <w:rsid w:val="003A0382"/>
    <w:rsid w:val="003A11CD"/>
    <w:rsid w:val="003A1897"/>
    <w:rsid w:val="003A1F81"/>
    <w:rsid w:val="003A2494"/>
    <w:rsid w:val="003A2768"/>
    <w:rsid w:val="003A2C08"/>
    <w:rsid w:val="003A3D09"/>
    <w:rsid w:val="003A4164"/>
    <w:rsid w:val="003A43B2"/>
    <w:rsid w:val="003A4419"/>
    <w:rsid w:val="003A5145"/>
    <w:rsid w:val="003A5247"/>
    <w:rsid w:val="003A5BDF"/>
    <w:rsid w:val="003A5D62"/>
    <w:rsid w:val="003A7300"/>
    <w:rsid w:val="003A75D3"/>
    <w:rsid w:val="003B3415"/>
    <w:rsid w:val="003B35AC"/>
    <w:rsid w:val="003B4105"/>
    <w:rsid w:val="003B4BF9"/>
    <w:rsid w:val="003B4DEE"/>
    <w:rsid w:val="003B6C5E"/>
    <w:rsid w:val="003B6E0A"/>
    <w:rsid w:val="003B6FF4"/>
    <w:rsid w:val="003B77AB"/>
    <w:rsid w:val="003C0B03"/>
    <w:rsid w:val="003C38BA"/>
    <w:rsid w:val="003C395B"/>
    <w:rsid w:val="003C3F20"/>
    <w:rsid w:val="003C4903"/>
    <w:rsid w:val="003C49A0"/>
    <w:rsid w:val="003C6D84"/>
    <w:rsid w:val="003C6DA0"/>
    <w:rsid w:val="003C7402"/>
    <w:rsid w:val="003D0DEA"/>
    <w:rsid w:val="003D187E"/>
    <w:rsid w:val="003D2F63"/>
    <w:rsid w:val="003D5AE9"/>
    <w:rsid w:val="003D5B27"/>
    <w:rsid w:val="003E0BAB"/>
    <w:rsid w:val="003E2392"/>
    <w:rsid w:val="003E2C28"/>
    <w:rsid w:val="003E2E76"/>
    <w:rsid w:val="003E2F3C"/>
    <w:rsid w:val="003E3DC9"/>
    <w:rsid w:val="003E4D50"/>
    <w:rsid w:val="003E5B25"/>
    <w:rsid w:val="003E5C1D"/>
    <w:rsid w:val="003E7866"/>
    <w:rsid w:val="003F2BE0"/>
    <w:rsid w:val="003F5524"/>
    <w:rsid w:val="003F7CA6"/>
    <w:rsid w:val="0040032E"/>
    <w:rsid w:val="004005E4"/>
    <w:rsid w:val="00400689"/>
    <w:rsid w:val="00401596"/>
    <w:rsid w:val="004026A3"/>
    <w:rsid w:val="00402C4A"/>
    <w:rsid w:val="0040393B"/>
    <w:rsid w:val="0040406D"/>
    <w:rsid w:val="00405006"/>
    <w:rsid w:val="0040566E"/>
    <w:rsid w:val="00407AD9"/>
    <w:rsid w:val="00410B53"/>
    <w:rsid w:val="00411A0E"/>
    <w:rsid w:val="00411F44"/>
    <w:rsid w:val="00412BB0"/>
    <w:rsid w:val="0041351C"/>
    <w:rsid w:val="00413739"/>
    <w:rsid w:val="004147E1"/>
    <w:rsid w:val="00414FBA"/>
    <w:rsid w:val="004163E1"/>
    <w:rsid w:val="004206C5"/>
    <w:rsid w:val="004222DF"/>
    <w:rsid w:val="00422AB8"/>
    <w:rsid w:val="00423DF7"/>
    <w:rsid w:val="00423DFB"/>
    <w:rsid w:val="00424173"/>
    <w:rsid w:val="0042567F"/>
    <w:rsid w:val="00427CCD"/>
    <w:rsid w:val="00430054"/>
    <w:rsid w:val="004302AD"/>
    <w:rsid w:val="00431344"/>
    <w:rsid w:val="004313EE"/>
    <w:rsid w:val="00432009"/>
    <w:rsid w:val="00432214"/>
    <w:rsid w:val="004332B4"/>
    <w:rsid w:val="0043435B"/>
    <w:rsid w:val="004347E7"/>
    <w:rsid w:val="00435B8E"/>
    <w:rsid w:val="00435D9B"/>
    <w:rsid w:val="00435E47"/>
    <w:rsid w:val="0043683D"/>
    <w:rsid w:val="004374A5"/>
    <w:rsid w:val="00440F86"/>
    <w:rsid w:val="00441734"/>
    <w:rsid w:val="00442EB0"/>
    <w:rsid w:val="004466A2"/>
    <w:rsid w:val="00446C9A"/>
    <w:rsid w:val="00446CDD"/>
    <w:rsid w:val="0045014B"/>
    <w:rsid w:val="00450862"/>
    <w:rsid w:val="00451BD4"/>
    <w:rsid w:val="0045228B"/>
    <w:rsid w:val="00452416"/>
    <w:rsid w:val="00452567"/>
    <w:rsid w:val="004529F3"/>
    <w:rsid w:val="004563D9"/>
    <w:rsid w:val="0045660C"/>
    <w:rsid w:val="00456895"/>
    <w:rsid w:val="0045739B"/>
    <w:rsid w:val="00457DFF"/>
    <w:rsid w:val="00460331"/>
    <w:rsid w:val="00461931"/>
    <w:rsid w:val="004640CD"/>
    <w:rsid w:val="00464F0C"/>
    <w:rsid w:val="00465D30"/>
    <w:rsid w:val="0046739A"/>
    <w:rsid w:val="004673BE"/>
    <w:rsid w:val="004674CE"/>
    <w:rsid w:val="004708BA"/>
    <w:rsid w:val="004719DA"/>
    <w:rsid w:val="004737E7"/>
    <w:rsid w:val="00473913"/>
    <w:rsid w:val="00474842"/>
    <w:rsid w:val="00477A02"/>
    <w:rsid w:val="004819A0"/>
    <w:rsid w:val="00481DA8"/>
    <w:rsid w:val="00481EEE"/>
    <w:rsid w:val="0048262E"/>
    <w:rsid w:val="00482CBF"/>
    <w:rsid w:val="004843B1"/>
    <w:rsid w:val="00484F57"/>
    <w:rsid w:val="0048636A"/>
    <w:rsid w:val="00486624"/>
    <w:rsid w:val="00486A4B"/>
    <w:rsid w:val="00487E50"/>
    <w:rsid w:val="00490938"/>
    <w:rsid w:val="00492AB0"/>
    <w:rsid w:val="00493A88"/>
    <w:rsid w:val="00494299"/>
    <w:rsid w:val="00494922"/>
    <w:rsid w:val="0049560D"/>
    <w:rsid w:val="00495A9C"/>
    <w:rsid w:val="00496401"/>
    <w:rsid w:val="00496809"/>
    <w:rsid w:val="004A080F"/>
    <w:rsid w:val="004A1CDB"/>
    <w:rsid w:val="004A2216"/>
    <w:rsid w:val="004A3BC4"/>
    <w:rsid w:val="004A3D7F"/>
    <w:rsid w:val="004A4C1F"/>
    <w:rsid w:val="004A5126"/>
    <w:rsid w:val="004A61BD"/>
    <w:rsid w:val="004B029A"/>
    <w:rsid w:val="004B0AC9"/>
    <w:rsid w:val="004B5014"/>
    <w:rsid w:val="004B519A"/>
    <w:rsid w:val="004B5854"/>
    <w:rsid w:val="004B6412"/>
    <w:rsid w:val="004B64A9"/>
    <w:rsid w:val="004B690E"/>
    <w:rsid w:val="004B6F6F"/>
    <w:rsid w:val="004C13C1"/>
    <w:rsid w:val="004C513D"/>
    <w:rsid w:val="004C56F5"/>
    <w:rsid w:val="004C5AEC"/>
    <w:rsid w:val="004C6401"/>
    <w:rsid w:val="004C7EA5"/>
    <w:rsid w:val="004D05F5"/>
    <w:rsid w:val="004D24AF"/>
    <w:rsid w:val="004D25CF"/>
    <w:rsid w:val="004D2B26"/>
    <w:rsid w:val="004D2DEF"/>
    <w:rsid w:val="004D3135"/>
    <w:rsid w:val="004D396D"/>
    <w:rsid w:val="004D570C"/>
    <w:rsid w:val="004D77A1"/>
    <w:rsid w:val="004D7DCC"/>
    <w:rsid w:val="004E1CD4"/>
    <w:rsid w:val="004E2A09"/>
    <w:rsid w:val="004E2BD7"/>
    <w:rsid w:val="004E2BDE"/>
    <w:rsid w:val="004E2F1C"/>
    <w:rsid w:val="004E3049"/>
    <w:rsid w:val="004E3DAD"/>
    <w:rsid w:val="004E4524"/>
    <w:rsid w:val="004E4AC0"/>
    <w:rsid w:val="004E56CC"/>
    <w:rsid w:val="004E5F41"/>
    <w:rsid w:val="004E602E"/>
    <w:rsid w:val="004E796B"/>
    <w:rsid w:val="004F141B"/>
    <w:rsid w:val="004F272F"/>
    <w:rsid w:val="004F3979"/>
    <w:rsid w:val="004F3C4C"/>
    <w:rsid w:val="004F3F4C"/>
    <w:rsid w:val="004F5B2E"/>
    <w:rsid w:val="004F63FD"/>
    <w:rsid w:val="00500516"/>
    <w:rsid w:val="0050422B"/>
    <w:rsid w:val="00504264"/>
    <w:rsid w:val="00504961"/>
    <w:rsid w:val="005068F8"/>
    <w:rsid w:val="00510607"/>
    <w:rsid w:val="00512055"/>
    <w:rsid w:val="005120C0"/>
    <w:rsid w:val="005122A1"/>
    <w:rsid w:val="00513D28"/>
    <w:rsid w:val="00514536"/>
    <w:rsid w:val="005145DF"/>
    <w:rsid w:val="00516B98"/>
    <w:rsid w:val="005202DE"/>
    <w:rsid w:val="0052150B"/>
    <w:rsid w:val="00522AAE"/>
    <w:rsid w:val="00524069"/>
    <w:rsid w:val="00524A4A"/>
    <w:rsid w:val="00525083"/>
    <w:rsid w:val="005252FC"/>
    <w:rsid w:val="00526D2B"/>
    <w:rsid w:val="00530062"/>
    <w:rsid w:val="0053012B"/>
    <w:rsid w:val="00530B90"/>
    <w:rsid w:val="005311DD"/>
    <w:rsid w:val="005321A4"/>
    <w:rsid w:val="00533360"/>
    <w:rsid w:val="00533743"/>
    <w:rsid w:val="00536CEF"/>
    <w:rsid w:val="00536F60"/>
    <w:rsid w:val="00537B4E"/>
    <w:rsid w:val="00537CF4"/>
    <w:rsid w:val="005408B1"/>
    <w:rsid w:val="005421A7"/>
    <w:rsid w:val="005429B8"/>
    <w:rsid w:val="005432F0"/>
    <w:rsid w:val="00544D5B"/>
    <w:rsid w:val="00545B64"/>
    <w:rsid w:val="00547C2A"/>
    <w:rsid w:val="00550C15"/>
    <w:rsid w:val="005513FB"/>
    <w:rsid w:val="005521A8"/>
    <w:rsid w:val="005528F3"/>
    <w:rsid w:val="00552E26"/>
    <w:rsid w:val="00560543"/>
    <w:rsid w:val="0056159F"/>
    <w:rsid w:val="005637C0"/>
    <w:rsid w:val="0056473B"/>
    <w:rsid w:val="00564D9D"/>
    <w:rsid w:val="00565156"/>
    <w:rsid w:val="005651CC"/>
    <w:rsid w:val="005652C2"/>
    <w:rsid w:val="00565856"/>
    <w:rsid w:val="005665B2"/>
    <w:rsid w:val="00566948"/>
    <w:rsid w:val="00570868"/>
    <w:rsid w:val="00570B9C"/>
    <w:rsid w:val="00571354"/>
    <w:rsid w:val="00571878"/>
    <w:rsid w:val="00571C98"/>
    <w:rsid w:val="00571E4E"/>
    <w:rsid w:val="00573921"/>
    <w:rsid w:val="00575C84"/>
    <w:rsid w:val="00576552"/>
    <w:rsid w:val="00576B92"/>
    <w:rsid w:val="00581788"/>
    <w:rsid w:val="00581D49"/>
    <w:rsid w:val="00582E5F"/>
    <w:rsid w:val="00583B4E"/>
    <w:rsid w:val="00583FE9"/>
    <w:rsid w:val="005840B8"/>
    <w:rsid w:val="0058540C"/>
    <w:rsid w:val="00585C86"/>
    <w:rsid w:val="00586A4A"/>
    <w:rsid w:val="00586E87"/>
    <w:rsid w:val="005876A2"/>
    <w:rsid w:val="00587A83"/>
    <w:rsid w:val="00587AC1"/>
    <w:rsid w:val="005924DC"/>
    <w:rsid w:val="00592B4D"/>
    <w:rsid w:val="00593B47"/>
    <w:rsid w:val="00593DAD"/>
    <w:rsid w:val="00594DC6"/>
    <w:rsid w:val="00595270"/>
    <w:rsid w:val="005953D1"/>
    <w:rsid w:val="00596937"/>
    <w:rsid w:val="00596CB7"/>
    <w:rsid w:val="005A005D"/>
    <w:rsid w:val="005A0E11"/>
    <w:rsid w:val="005A1013"/>
    <w:rsid w:val="005A362B"/>
    <w:rsid w:val="005A4084"/>
    <w:rsid w:val="005A4943"/>
    <w:rsid w:val="005A4B36"/>
    <w:rsid w:val="005A537C"/>
    <w:rsid w:val="005A5BB5"/>
    <w:rsid w:val="005A5EAE"/>
    <w:rsid w:val="005B16FF"/>
    <w:rsid w:val="005B1741"/>
    <w:rsid w:val="005B1A3C"/>
    <w:rsid w:val="005B3F4C"/>
    <w:rsid w:val="005B4BA1"/>
    <w:rsid w:val="005B5783"/>
    <w:rsid w:val="005B5D3C"/>
    <w:rsid w:val="005B6935"/>
    <w:rsid w:val="005B6C32"/>
    <w:rsid w:val="005B7AC2"/>
    <w:rsid w:val="005B7E4F"/>
    <w:rsid w:val="005C10C7"/>
    <w:rsid w:val="005C1737"/>
    <w:rsid w:val="005C1A4D"/>
    <w:rsid w:val="005C2D17"/>
    <w:rsid w:val="005C50A7"/>
    <w:rsid w:val="005C54F2"/>
    <w:rsid w:val="005C7CB7"/>
    <w:rsid w:val="005C7E76"/>
    <w:rsid w:val="005D0E61"/>
    <w:rsid w:val="005D2932"/>
    <w:rsid w:val="005D33E2"/>
    <w:rsid w:val="005D3821"/>
    <w:rsid w:val="005D4160"/>
    <w:rsid w:val="005D4682"/>
    <w:rsid w:val="005D49FF"/>
    <w:rsid w:val="005D5868"/>
    <w:rsid w:val="005D6152"/>
    <w:rsid w:val="005D683B"/>
    <w:rsid w:val="005D72CD"/>
    <w:rsid w:val="005E2637"/>
    <w:rsid w:val="005E2B75"/>
    <w:rsid w:val="005E33EF"/>
    <w:rsid w:val="005E36B0"/>
    <w:rsid w:val="005E4F67"/>
    <w:rsid w:val="005E56AD"/>
    <w:rsid w:val="005E678C"/>
    <w:rsid w:val="005F0CF5"/>
    <w:rsid w:val="005F0FF5"/>
    <w:rsid w:val="005F2365"/>
    <w:rsid w:val="005F238C"/>
    <w:rsid w:val="005F355D"/>
    <w:rsid w:val="005F632A"/>
    <w:rsid w:val="005F7424"/>
    <w:rsid w:val="006009B5"/>
    <w:rsid w:val="00600DED"/>
    <w:rsid w:val="006022A4"/>
    <w:rsid w:val="00603098"/>
    <w:rsid w:val="00603531"/>
    <w:rsid w:val="006039F1"/>
    <w:rsid w:val="0060560A"/>
    <w:rsid w:val="00606BC6"/>
    <w:rsid w:val="00606DEF"/>
    <w:rsid w:val="0061097E"/>
    <w:rsid w:val="006113E3"/>
    <w:rsid w:val="00615BB3"/>
    <w:rsid w:val="00615E17"/>
    <w:rsid w:val="006174CC"/>
    <w:rsid w:val="00617636"/>
    <w:rsid w:val="00620808"/>
    <w:rsid w:val="006228E5"/>
    <w:rsid w:val="00623238"/>
    <w:rsid w:val="00623BD7"/>
    <w:rsid w:val="00624ED2"/>
    <w:rsid w:val="00626A5A"/>
    <w:rsid w:val="00627ED1"/>
    <w:rsid w:val="00630C99"/>
    <w:rsid w:val="00631541"/>
    <w:rsid w:val="006316C9"/>
    <w:rsid w:val="00633168"/>
    <w:rsid w:val="00633E5A"/>
    <w:rsid w:val="006350B6"/>
    <w:rsid w:val="0063557D"/>
    <w:rsid w:val="00636469"/>
    <w:rsid w:val="0064100D"/>
    <w:rsid w:val="0064181F"/>
    <w:rsid w:val="00644A2F"/>
    <w:rsid w:val="00644CEB"/>
    <w:rsid w:val="00647082"/>
    <w:rsid w:val="00647918"/>
    <w:rsid w:val="00647CFD"/>
    <w:rsid w:val="0065192B"/>
    <w:rsid w:val="00651A9F"/>
    <w:rsid w:val="00651BB1"/>
    <w:rsid w:val="00652702"/>
    <w:rsid w:val="00652928"/>
    <w:rsid w:val="00652F11"/>
    <w:rsid w:val="006533D1"/>
    <w:rsid w:val="00653F87"/>
    <w:rsid w:val="00655217"/>
    <w:rsid w:val="0065659D"/>
    <w:rsid w:val="00656B8A"/>
    <w:rsid w:val="00656D45"/>
    <w:rsid w:val="006607E5"/>
    <w:rsid w:val="006621A1"/>
    <w:rsid w:val="0066261B"/>
    <w:rsid w:val="00662FEF"/>
    <w:rsid w:val="006630D7"/>
    <w:rsid w:val="006643CA"/>
    <w:rsid w:val="00664A6F"/>
    <w:rsid w:val="00664B82"/>
    <w:rsid w:val="006661E9"/>
    <w:rsid w:val="00666730"/>
    <w:rsid w:val="00667377"/>
    <w:rsid w:val="006704CE"/>
    <w:rsid w:val="00671911"/>
    <w:rsid w:val="00672766"/>
    <w:rsid w:val="00674BB7"/>
    <w:rsid w:val="00676000"/>
    <w:rsid w:val="006762AF"/>
    <w:rsid w:val="00676794"/>
    <w:rsid w:val="00676CD9"/>
    <w:rsid w:val="00677700"/>
    <w:rsid w:val="0067775F"/>
    <w:rsid w:val="00677EFE"/>
    <w:rsid w:val="00680238"/>
    <w:rsid w:val="00680FD2"/>
    <w:rsid w:val="00681D73"/>
    <w:rsid w:val="00684515"/>
    <w:rsid w:val="00684AB6"/>
    <w:rsid w:val="00686065"/>
    <w:rsid w:val="006864A6"/>
    <w:rsid w:val="00686AF5"/>
    <w:rsid w:val="00690C44"/>
    <w:rsid w:val="0069133B"/>
    <w:rsid w:val="006916A3"/>
    <w:rsid w:val="00692128"/>
    <w:rsid w:val="0069261C"/>
    <w:rsid w:val="006A0772"/>
    <w:rsid w:val="006A1403"/>
    <w:rsid w:val="006A1E35"/>
    <w:rsid w:val="006A26D3"/>
    <w:rsid w:val="006A2739"/>
    <w:rsid w:val="006A2909"/>
    <w:rsid w:val="006A3EEB"/>
    <w:rsid w:val="006A4983"/>
    <w:rsid w:val="006A5E94"/>
    <w:rsid w:val="006A6E34"/>
    <w:rsid w:val="006A72AE"/>
    <w:rsid w:val="006A7953"/>
    <w:rsid w:val="006B2474"/>
    <w:rsid w:val="006B52A1"/>
    <w:rsid w:val="006B5C0C"/>
    <w:rsid w:val="006B7803"/>
    <w:rsid w:val="006C01CC"/>
    <w:rsid w:val="006C19FB"/>
    <w:rsid w:val="006C2AAA"/>
    <w:rsid w:val="006C33B2"/>
    <w:rsid w:val="006C4DAF"/>
    <w:rsid w:val="006C4E17"/>
    <w:rsid w:val="006C5814"/>
    <w:rsid w:val="006C67D7"/>
    <w:rsid w:val="006C6E87"/>
    <w:rsid w:val="006D16C7"/>
    <w:rsid w:val="006D3C07"/>
    <w:rsid w:val="006D40C6"/>
    <w:rsid w:val="006D4103"/>
    <w:rsid w:val="006D430C"/>
    <w:rsid w:val="006D4B17"/>
    <w:rsid w:val="006D629A"/>
    <w:rsid w:val="006D6703"/>
    <w:rsid w:val="006D6A1F"/>
    <w:rsid w:val="006D6BD8"/>
    <w:rsid w:val="006D6CB9"/>
    <w:rsid w:val="006E07DD"/>
    <w:rsid w:val="006E1847"/>
    <w:rsid w:val="006E1B87"/>
    <w:rsid w:val="006E29DB"/>
    <w:rsid w:val="006E315F"/>
    <w:rsid w:val="006E39DC"/>
    <w:rsid w:val="006E3D37"/>
    <w:rsid w:val="006E59BB"/>
    <w:rsid w:val="006E6168"/>
    <w:rsid w:val="006F19DF"/>
    <w:rsid w:val="006F1D38"/>
    <w:rsid w:val="006F5521"/>
    <w:rsid w:val="006F5666"/>
    <w:rsid w:val="006F62E8"/>
    <w:rsid w:val="006F641B"/>
    <w:rsid w:val="006F6DC8"/>
    <w:rsid w:val="006F77D5"/>
    <w:rsid w:val="006F7A12"/>
    <w:rsid w:val="006F7AF2"/>
    <w:rsid w:val="0070059A"/>
    <w:rsid w:val="00700F6B"/>
    <w:rsid w:val="007012A0"/>
    <w:rsid w:val="00701716"/>
    <w:rsid w:val="00701F3B"/>
    <w:rsid w:val="00702750"/>
    <w:rsid w:val="007041D2"/>
    <w:rsid w:val="007043AF"/>
    <w:rsid w:val="007045CD"/>
    <w:rsid w:val="00705010"/>
    <w:rsid w:val="00705FE4"/>
    <w:rsid w:val="007062DD"/>
    <w:rsid w:val="00707213"/>
    <w:rsid w:val="00707BD5"/>
    <w:rsid w:val="0071031C"/>
    <w:rsid w:val="00711014"/>
    <w:rsid w:val="0071391E"/>
    <w:rsid w:val="00713EFB"/>
    <w:rsid w:val="00714D5A"/>
    <w:rsid w:val="00716FDE"/>
    <w:rsid w:val="00722F45"/>
    <w:rsid w:val="007239EB"/>
    <w:rsid w:val="00723BD1"/>
    <w:rsid w:val="007279E1"/>
    <w:rsid w:val="00731DD5"/>
    <w:rsid w:val="00732891"/>
    <w:rsid w:val="00732CC3"/>
    <w:rsid w:val="007350B5"/>
    <w:rsid w:val="00736578"/>
    <w:rsid w:val="00736855"/>
    <w:rsid w:val="00736E7B"/>
    <w:rsid w:val="007414FE"/>
    <w:rsid w:val="00741CD1"/>
    <w:rsid w:val="00742A90"/>
    <w:rsid w:val="00743B25"/>
    <w:rsid w:val="00743ECC"/>
    <w:rsid w:val="00745773"/>
    <w:rsid w:val="007458FD"/>
    <w:rsid w:val="007463CE"/>
    <w:rsid w:val="007466D7"/>
    <w:rsid w:val="00747DB3"/>
    <w:rsid w:val="00751ECF"/>
    <w:rsid w:val="00752B20"/>
    <w:rsid w:val="00752E0A"/>
    <w:rsid w:val="0075524B"/>
    <w:rsid w:val="00755FDB"/>
    <w:rsid w:val="0075665E"/>
    <w:rsid w:val="0075687F"/>
    <w:rsid w:val="007578E2"/>
    <w:rsid w:val="00760476"/>
    <w:rsid w:val="00760EBB"/>
    <w:rsid w:val="007626BD"/>
    <w:rsid w:val="00762A7C"/>
    <w:rsid w:val="00762CF4"/>
    <w:rsid w:val="00763516"/>
    <w:rsid w:val="007645ED"/>
    <w:rsid w:val="00764AFC"/>
    <w:rsid w:val="0076565E"/>
    <w:rsid w:val="00765995"/>
    <w:rsid w:val="00767C56"/>
    <w:rsid w:val="00767EA0"/>
    <w:rsid w:val="0077067C"/>
    <w:rsid w:val="00770928"/>
    <w:rsid w:val="00771025"/>
    <w:rsid w:val="007715ED"/>
    <w:rsid w:val="00771D70"/>
    <w:rsid w:val="00771F3A"/>
    <w:rsid w:val="00775E15"/>
    <w:rsid w:val="0077738F"/>
    <w:rsid w:val="007773C5"/>
    <w:rsid w:val="007777CB"/>
    <w:rsid w:val="00777859"/>
    <w:rsid w:val="007825E8"/>
    <w:rsid w:val="00783C1E"/>
    <w:rsid w:val="00790ACD"/>
    <w:rsid w:val="007941AF"/>
    <w:rsid w:val="00794868"/>
    <w:rsid w:val="00795027"/>
    <w:rsid w:val="00796691"/>
    <w:rsid w:val="007A19F2"/>
    <w:rsid w:val="007A1A4A"/>
    <w:rsid w:val="007A30F1"/>
    <w:rsid w:val="007A3C7A"/>
    <w:rsid w:val="007A426D"/>
    <w:rsid w:val="007A442E"/>
    <w:rsid w:val="007A453E"/>
    <w:rsid w:val="007A498E"/>
    <w:rsid w:val="007A4AE2"/>
    <w:rsid w:val="007A4C03"/>
    <w:rsid w:val="007A4C40"/>
    <w:rsid w:val="007A604C"/>
    <w:rsid w:val="007A7430"/>
    <w:rsid w:val="007A7C60"/>
    <w:rsid w:val="007B38AE"/>
    <w:rsid w:val="007B4922"/>
    <w:rsid w:val="007B4A56"/>
    <w:rsid w:val="007B5658"/>
    <w:rsid w:val="007B6DAD"/>
    <w:rsid w:val="007B71FA"/>
    <w:rsid w:val="007B7461"/>
    <w:rsid w:val="007B79A0"/>
    <w:rsid w:val="007C0040"/>
    <w:rsid w:val="007C074D"/>
    <w:rsid w:val="007C0948"/>
    <w:rsid w:val="007C0AF9"/>
    <w:rsid w:val="007C2521"/>
    <w:rsid w:val="007C3DF1"/>
    <w:rsid w:val="007C6AD5"/>
    <w:rsid w:val="007C79B5"/>
    <w:rsid w:val="007D2016"/>
    <w:rsid w:val="007D2417"/>
    <w:rsid w:val="007D35A3"/>
    <w:rsid w:val="007D5AF4"/>
    <w:rsid w:val="007E165E"/>
    <w:rsid w:val="007E2DAF"/>
    <w:rsid w:val="007E3B88"/>
    <w:rsid w:val="007E4428"/>
    <w:rsid w:val="007E4431"/>
    <w:rsid w:val="007E4AA1"/>
    <w:rsid w:val="007E534C"/>
    <w:rsid w:val="007E5953"/>
    <w:rsid w:val="007E5A1C"/>
    <w:rsid w:val="007E6C1D"/>
    <w:rsid w:val="007E6C3E"/>
    <w:rsid w:val="007E7056"/>
    <w:rsid w:val="007E7ED2"/>
    <w:rsid w:val="007F0195"/>
    <w:rsid w:val="007F216D"/>
    <w:rsid w:val="007F2DD2"/>
    <w:rsid w:val="007F2FD9"/>
    <w:rsid w:val="007F33BB"/>
    <w:rsid w:val="007F451B"/>
    <w:rsid w:val="007F5525"/>
    <w:rsid w:val="00800D7B"/>
    <w:rsid w:val="008010AD"/>
    <w:rsid w:val="00802849"/>
    <w:rsid w:val="0080324F"/>
    <w:rsid w:val="00803AF7"/>
    <w:rsid w:val="0080549D"/>
    <w:rsid w:val="00805C33"/>
    <w:rsid w:val="008061D4"/>
    <w:rsid w:val="00807A43"/>
    <w:rsid w:val="00807BDE"/>
    <w:rsid w:val="008112CE"/>
    <w:rsid w:val="008117D9"/>
    <w:rsid w:val="00812592"/>
    <w:rsid w:val="00813F46"/>
    <w:rsid w:val="00815844"/>
    <w:rsid w:val="0081716C"/>
    <w:rsid w:val="008177BE"/>
    <w:rsid w:val="00817E7A"/>
    <w:rsid w:val="0082065B"/>
    <w:rsid w:val="00820D81"/>
    <w:rsid w:val="00820EA2"/>
    <w:rsid w:val="00821124"/>
    <w:rsid w:val="008212E4"/>
    <w:rsid w:val="00822D1D"/>
    <w:rsid w:val="00823B03"/>
    <w:rsid w:val="008246E2"/>
    <w:rsid w:val="008264E6"/>
    <w:rsid w:val="00826705"/>
    <w:rsid w:val="008278BA"/>
    <w:rsid w:val="00832A69"/>
    <w:rsid w:val="00832A80"/>
    <w:rsid w:val="00834557"/>
    <w:rsid w:val="00834A08"/>
    <w:rsid w:val="0083532B"/>
    <w:rsid w:val="008355B9"/>
    <w:rsid w:val="008362D8"/>
    <w:rsid w:val="0083739D"/>
    <w:rsid w:val="00837534"/>
    <w:rsid w:val="008404D5"/>
    <w:rsid w:val="00840BCF"/>
    <w:rsid w:val="00840C55"/>
    <w:rsid w:val="00840F0E"/>
    <w:rsid w:val="00841FE8"/>
    <w:rsid w:val="0084245F"/>
    <w:rsid w:val="00842605"/>
    <w:rsid w:val="00842B60"/>
    <w:rsid w:val="008433FD"/>
    <w:rsid w:val="008439C8"/>
    <w:rsid w:val="008440F7"/>
    <w:rsid w:val="00844C83"/>
    <w:rsid w:val="00845E69"/>
    <w:rsid w:val="00846FCB"/>
    <w:rsid w:val="008470D8"/>
    <w:rsid w:val="0085190A"/>
    <w:rsid w:val="00851B81"/>
    <w:rsid w:val="008536CA"/>
    <w:rsid w:val="008571EC"/>
    <w:rsid w:val="00860A8E"/>
    <w:rsid w:val="00862816"/>
    <w:rsid w:val="00862D5E"/>
    <w:rsid w:val="00863463"/>
    <w:rsid w:val="00863C14"/>
    <w:rsid w:val="008652A1"/>
    <w:rsid w:val="00865F5B"/>
    <w:rsid w:val="00866119"/>
    <w:rsid w:val="008673C8"/>
    <w:rsid w:val="00867915"/>
    <w:rsid w:val="0087163F"/>
    <w:rsid w:val="0087211F"/>
    <w:rsid w:val="00872AC5"/>
    <w:rsid w:val="008738F8"/>
    <w:rsid w:val="00873ED3"/>
    <w:rsid w:val="0087443E"/>
    <w:rsid w:val="00874E1C"/>
    <w:rsid w:val="00877510"/>
    <w:rsid w:val="0088237F"/>
    <w:rsid w:val="008828D5"/>
    <w:rsid w:val="008836C1"/>
    <w:rsid w:val="00883C43"/>
    <w:rsid w:val="00883D87"/>
    <w:rsid w:val="008848DC"/>
    <w:rsid w:val="00885555"/>
    <w:rsid w:val="00885A5B"/>
    <w:rsid w:val="00885E00"/>
    <w:rsid w:val="008867F3"/>
    <w:rsid w:val="00887B8C"/>
    <w:rsid w:val="00887F46"/>
    <w:rsid w:val="00887F69"/>
    <w:rsid w:val="008931F8"/>
    <w:rsid w:val="00893AF3"/>
    <w:rsid w:val="0089419E"/>
    <w:rsid w:val="0089462E"/>
    <w:rsid w:val="0089497C"/>
    <w:rsid w:val="00894A97"/>
    <w:rsid w:val="00895346"/>
    <w:rsid w:val="008A0903"/>
    <w:rsid w:val="008A184C"/>
    <w:rsid w:val="008A2D2A"/>
    <w:rsid w:val="008A3E04"/>
    <w:rsid w:val="008A452E"/>
    <w:rsid w:val="008A507F"/>
    <w:rsid w:val="008A55C1"/>
    <w:rsid w:val="008B06ED"/>
    <w:rsid w:val="008B1853"/>
    <w:rsid w:val="008B1A26"/>
    <w:rsid w:val="008B279D"/>
    <w:rsid w:val="008B3339"/>
    <w:rsid w:val="008B5ADC"/>
    <w:rsid w:val="008B647D"/>
    <w:rsid w:val="008B78C1"/>
    <w:rsid w:val="008B7D2B"/>
    <w:rsid w:val="008C1ADD"/>
    <w:rsid w:val="008C2C58"/>
    <w:rsid w:val="008C3150"/>
    <w:rsid w:val="008C31AA"/>
    <w:rsid w:val="008D0F40"/>
    <w:rsid w:val="008D1885"/>
    <w:rsid w:val="008D1FAD"/>
    <w:rsid w:val="008D30B9"/>
    <w:rsid w:val="008D3D90"/>
    <w:rsid w:val="008D63A7"/>
    <w:rsid w:val="008D6447"/>
    <w:rsid w:val="008D68F3"/>
    <w:rsid w:val="008D6C61"/>
    <w:rsid w:val="008D76DF"/>
    <w:rsid w:val="008E007D"/>
    <w:rsid w:val="008E00BB"/>
    <w:rsid w:val="008E0DC2"/>
    <w:rsid w:val="008E173E"/>
    <w:rsid w:val="008E1B75"/>
    <w:rsid w:val="008E1FC1"/>
    <w:rsid w:val="008E2BBE"/>
    <w:rsid w:val="008E2EBF"/>
    <w:rsid w:val="008E3216"/>
    <w:rsid w:val="008E3930"/>
    <w:rsid w:val="008E3CE3"/>
    <w:rsid w:val="008E3D49"/>
    <w:rsid w:val="008E63E5"/>
    <w:rsid w:val="008E640C"/>
    <w:rsid w:val="008E7FF1"/>
    <w:rsid w:val="008F041B"/>
    <w:rsid w:val="008F1472"/>
    <w:rsid w:val="008F233D"/>
    <w:rsid w:val="008F27A1"/>
    <w:rsid w:val="008F2FD0"/>
    <w:rsid w:val="008F46B0"/>
    <w:rsid w:val="008F4BBB"/>
    <w:rsid w:val="008F68C0"/>
    <w:rsid w:val="00901C7A"/>
    <w:rsid w:val="00901CFB"/>
    <w:rsid w:val="00902432"/>
    <w:rsid w:val="009025F0"/>
    <w:rsid w:val="009028B2"/>
    <w:rsid w:val="00903F13"/>
    <w:rsid w:val="0090419F"/>
    <w:rsid w:val="0090475C"/>
    <w:rsid w:val="00904D9A"/>
    <w:rsid w:val="009058BB"/>
    <w:rsid w:val="00905C45"/>
    <w:rsid w:val="0090699B"/>
    <w:rsid w:val="00906A0B"/>
    <w:rsid w:val="00906DA4"/>
    <w:rsid w:val="009077BB"/>
    <w:rsid w:val="00907DAE"/>
    <w:rsid w:val="00912400"/>
    <w:rsid w:val="00912BBD"/>
    <w:rsid w:val="009133FB"/>
    <w:rsid w:val="0091397E"/>
    <w:rsid w:val="009159EB"/>
    <w:rsid w:val="0091669A"/>
    <w:rsid w:val="00916F5B"/>
    <w:rsid w:val="0091744C"/>
    <w:rsid w:val="00920499"/>
    <w:rsid w:val="00920E9C"/>
    <w:rsid w:val="00925107"/>
    <w:rsid w:val="00925333"/>
    <w:rsid w:val="0092626F"/>
    <w:rsid w:val="009279D0"/>
    <w:rsid w:val="0093010C"/>
    <w:rsid w:val="0093174A"/>
    <w:rsid w:val="0093266F"/>
    <w:rsid w:val="00933550"/>
    <w:rsid w:val="00934343"/>
    <w:rsid w:val="0093490D"/>
    <w:rsid w:val="00935027"/>
    <w:rsid w:val="00936B13"/>
    <w:rsid w:val="009371B1"/>
    <w:rsid w:val="0093795E"/>
    <w:rsid w:val="0094066A"/>
    <w:rsid w:val="0094097B"/>
    <w:rsid w:val="00940C24"/>
    <w:rsid w:val="00941CFC"/>
    <w:rsid w:val="0094253E"/>
    <w:rsid w:val="0094342E"/>
    <w:rsid w:val="0094434A"/>
    <w:rsid w:val="009463C7"/>
    <w:rsid w:val="0094786E"/>
    <w:rsid w:val="0095119C"/>
    <w:rsid w:val="00952F01"/>
    <w:rsid w:val="00955192"/>
    <w:rsid w:val="009551A6"/>
    <w:rsid w:val="00955FC6"/>
    <w:rsid w:val="00955FDD"/>
    <w:rsid w:val="00960023"/>
    <w:rsid w:val="0096061C"/>
    <w:rsid w:val="00960BF3"/>
    <w:rsid w:val="00961830"/>
    <w:rsid w:val="00962E35"/>
    <w:rsid w:val="00965266"/>
    <w:rsid w:val="00965A03"/>
    <w:rsid w:val="00965E58"/>
    <w:rsid w:val="00966BA2"/>
    <w:rsid w:val="00967063"/>
    <w:rsid w:val="009701F0"/>
    <w:rsid w:val="0097023D"/>
    <w:rsid w:val="00970901"/>
    <w:rsid w:val="009722F6"/>
    <w:rsid w:val="00972CD2"/>
    <w:rsid w:val="009735E5"/>
    <w:rsid w:val="009759B6"/>
    <w:rsid w:val="009759ED"/>
    <w:rsid w:val="0097738E"/>
    <w:rsid w:val="00980C13"/>
    <w:rsid w:val="00980FB7"/>
    <w:rsid w:val="009812B1"/>
    <w:rsid w:val="00981FE0"/>
    <w:rsid w:val="009837D7"/>
    <w:rsid w:val="00984554"/>
    <w:rsid w:val="00986D4D"/>
    <w:rsid w:val="00986D92"/>
    <w:rsid w:val="00986E4F"/>
    <w:rsid w:val="00990108"/>
    <w:rsid w:val="00991E14"/>
    <w:rsid w:val="009936E9"/>
    <w:rsid w:val="0099415D"/>
    <w:rsid w:val="0099426B"/>
    <w:rsid w:val="00995A14"/>
    <w:rsid w:val="00995D94"/>
    <w:rsid w:val="00995E31"/>
    <w:rsid w:val="009963F7"/>
    <w:rsid w:val="009970B3"/>
    <w:rsid w:val="009975A9"/>
    <w:rsid w:val="00997D30"/>
    <w:rsid w:val="009A1618"/>
    <w:rsid w:val="009A1AE4"/>
    <w:rsid w:val="009A2DBB"/>
    <w:rsid w:val="009A3F0E"/>
    <w:rsid w:val="009A4999"/>
    <w:rsid w:val="009A6F32"/>
    <w:rsid w:val="009A71F2"/>
    <w:rsid w:val="009B021F"/>
    <w:rsid w:val="009B1832"/>
    <w:rsid w:val="009B3CB6"/>
    <w:rsid w:val="009B47BB"/>
    <w:rsid w:val="009B48A7"/>
    <w:rsid w:val="009B5E65"/>
    <w:rsid w:val="009B60D8"/>
    <w:rsid w:val="009B6744"/>
    <w:rsid w:val="009B6E30"/>
    <w:rsid w:val="009B7C26"/>
    <w:rsid w:val="009C08ED"/>
    <w:rsid w:val="009C2948"/>
    <w:rsid w:val="009C2F3E"/>
    <w:rsid w:val="009C2FB5"/>
    <w:rsid w:val="009C5A6A"/>
    <w:rsid w:val="009C5FDC"/>
    <w:rsid w:val="009C66FC"/>
    <w:rsid w:val="009D0AD4"/>
    <w:rsid w:val="009D0F47"/>
    <w:rsid w:val="009D27E2"/>
    <w:rsid w:val="009D281E"/>
    <w:rsid w:val="009D400C"/>
    <w:rsid w:val="009D49E1"/>
    <w:rsid w:val="009D5DC8"/>
    <w:rsid w:val="009E08C7"/>
    <w:rsid w:val="009E10F3"/>
    <w:rsid w:val="009E253D"/>
    <w:rsid w:val="009E2C84"/>
    <w:rsid w:val="009E3969"/>
    <w:rsid w:val="009E436A"/>
    <w:rsid w:val="009E4C07"/>
    <w:rsid w:val="009E5F4A"/>
    <w:rsid w:val="009E619D"/>
    <w:rsid w:val="009E66CD"/>
    <w:rsid w:val="009E76FB"/>
    <w:rsid w:val="009E7905"/>
    <w:rsid w:val="009F0636"/>
    <w:rsid w:val="009F1FE3"/>
    <w:rsid w:val="009F308E"/>
    <w:rsid w:val="009F36AD"/>
    <w:rsid w:val="009F4681"/>
    <w:rsid w:val="009F5D63"/>
    <w:rsid w:val="009F678A"/>
    <w:rsid w:val="00A03262"/>
    <w:rsid w:val="00A04259"/>
    <w:rsid w:val="00A045DE"/>
    <w:rsid w:val="00A05C44"/>
    <w:rsid w:val="00A06AB7"/>
    <w:rsid w:val="00A07C7A"/>
    <w:rsid w:val="00A07CDA"/>
    <w:rsid w:val="00A100BD"/>
    <w:rsid w:val="00A12249"/>
    <w:rsid w:val="00A1233F"/>
    <w:rsid w:val="00A1464C"/>
    <w:rsid w:val="00A14D63"/>
    <w:rsid w:val="00A15448"/>
    <w:rsid w:val="00A161A1"/>
    <w:rsid w:val="00A16E93"/>
    <w:rsid w:val="00A17878"/>
    <w:rsid w:val="00A2177F"/>
    <w:rsid w:val="00A21FE3"/>
    <w:rsid w:val="00A2287F"/>
    <w:rsid w:val="00A22BAD"/>
    <w:rsid w:val="00A23529"/>
    <w:rsid w:val="00A23E6C"/>
    <w:rsid w:val="00A2577E"/>
    <w:rsid w:val="00A2784C"/>
    <w:rsid w:val="00A27F1B"/>
    <w:rsid w:val="00A3052E"/>
    <w:rsid w:val="00A30BFA"/>
    <w:rsid w:val="00A30CA5"/>
    <w:rsid w:val="00A30CFE"/>
    <w:rsid w:val="00A3334D"/>
    <w:rsid w:val="00A35DAC"/>
    <w:rsid w:val="00A36060"/>
    <w:rsid w:val="00A3798A"/>
    <w:rsid w:val="00A4022C"/>
    <w:rsid w:val="00A43265"/>
    <w:rsid w:val="00A435A7"/>
    <w:rsid w:val="00A43D1A"/>
    <w:rsid w:val="00A44789"/>
    <w:rsid w:val="00A44D62"/>
    <w:rsid w:val="00A45A74"/>
    <w:rsid w:val="00A514C5"/>
    <w:rsid w:val="00A51D45"/>
    <w:rsid w:val="00A52460"/>
    <w:rsid w:val="00A52FAC"/>
    <w:rsid w:val="00A52FF7"/>
    <w:rsid w:val="00A533A5"/>
    <w:rsid w:val="00A53E4A"/>
    <w:rsid w:val="00A54B2F"/>
    <w:rsid w:val="00A5519D"/>
    <w:rsid w:val="00A55D45"/>
    <w:rsid w:val="00A5716C"/>
    <w:rsid w:val="00A572F1"/>
    <w:rsid w:val="00A574EB"/>
    <w:rsid w:val="00A57FDE"/>
    <w:rsid w:val="00A60749"/>
    <w:rsid w:val="00A6084A"/>
    <w:rsid w:val="00A60D48"/>
    <w:rsid w:val="00A6242F"/>
    <w:rsid w:val="00A63881"/>
    <w:rsid w:val="00A648D0"/>
    <w:rsid w:val="00A64AEE"/>
    <w:rsid w:val="00A64E0F"/>
    <w:rsid w:val="00A65812"/>
    <w:rsid w:val="00A669AC"/>
    <w:rsid w:val="00A66AAA"/>
    <w:rsid w:val="00A66D79"/>
    <w:rsid w:val="00A67709"/>
    <w:rsid w:val="00A70039"/>
    <w:rsid w:val="00A71CD3"/>
    <w:rsid w:val="00A73485"/>
    <w:rsid w:val="00A742F3"/>
    <w:rsid w:val="00A75E6A"/>
    <w:rsid w:val="00A76942"/>
    <w:rsid w:val="00A76C37"/>
    <w:rsid w:val="00A76D14"/>
    <w:rsid w:val="00A76D56"/>
    <w:rsid w:val="00A77785"/>
    <w:rsid w:val="00A80296"/>
    <w:rsid w:val="00A80782"/>
    <w:rsid w:val="00A81547"/>
    <w:rsid w:val="00A82630"/>
    <w:rsid w:val="00A85805"/>
    <w:rsid w:val="00A85EE7"/>
    <w:rsid w:val="00A86C71"/>
    <w:rsid w:val="00A90F9D"/>
    <w:rsid w:val="00A9127C"/>
    <w:rsid w:val="00A91B9D"/>
    <w:rsid w:val="00A92106"/>
    <w:rsid w:val="00A94E6C"/>
    <w:rsid w:val="00A95E6C"/>
    <w:rsid w:val="00A964D4"/>
    <w:rsid w:val="00A96D47"/>
    <w:rsid w:val="00A96EB6"/>
    <w:rsid w:val="00A97F40"/>
    <w:rsid w:val="00AA09A7"/>
    <w:rsid w:val="00AA2274"/>
    <w:rsid w:val="00AA23CE"/>
    <w:rsid w:val="00AA2DE5"/>
    <w:rsid w:val="00AA3BE2"/>
    <w:rsid w:val="00AA4060"/>
    <w:rsid w:val="00AA4C6D"/>
    <w:rsid w:val="00AA6F6B"/>
    <w:rsid w:val="00AA78C5"/>
    <w:rsid w:val="00AA7CF9"/>
    <w:rsid w:val="00AB2297"/>
    <w:rsid w:val="00AB35A1"/>
    <w:rsid w:val="00AB56B9"/>
    <w:rsid w:val="00AB5DCD"/>
    <w:rsid w:val="00AB7228"/>
    <w:rsid w:val="00AB7BAE"/>
    <w:rsid w:val="00AC0B6C"/>
    <w:rsid w:val="00AC0FAC"/>
    <w:rsid w:val="00AC14E4"/>
    <w:rsid w:val="00AC17F8"/>
    <w:rsid w:val="00AC1BD5"/>
    <w:rsid w:val="00AC214F"/>
    <w:rsid w:val="00AC228B"/>
    <w:rsid w:val="00AC29DA"/>
    <w:rsid w:val="00AC31DD"/>
    <w:rsid w:val="00AC53D8"/>
    <w:rsid w:val="00AC5A9B"/>
    <w:rsid w:val="00AC7542"/>
    <w:rsid w:val="00AD0A9A"/>
    <w:rsid w:val="00AD0C46"/>
    <w:rsid w:val="00AD13B5"/>
    <w:rsid w:val="00AD1A9D"/>
    <w:rsid w:val="00AD1AD8"/>
    <w:rsid w:val="00AD1CF1"/>
    <w:rsid w:val="00AD3B4F"/>
    <w:rsid w:val="00AD3FFE"/>
    <w:rsid w:val="00AD4E42"/>
    <w:rsid w:val="00AD6E97"/>
    <w:rsid w:val="00AD7B9C"/>
    <w:rsid w:val="00AE15B6"/>
    <w:rsid w:val="00AE1BF2"/>
    <w:rsid w:val="00AE24FD"/>
    <w:rsid w:val="00AE3A08"/>
    <w:rsid w:val="00AE4B05"/>
    <w:rsid w:val="00AE546F"/>
    <w:rsid w:val="00AE58AB"/>
    <w:rsid w:val="00AE6CFC"/>
    <w:rsid w:val="00AE6D90"/>
    <w:rsid w:val="00AE6F09"/>
    <w:rsid w:val="00AE7809"/>
    <w:rsid w:val="00AF0252"/>
    <w:rsid w:val="00AF08D2"/>
    <w:rsid w:val="00AF1947"/>
    <w:rsid w:val="00AF1DEF"/>
    <w:rsid w:val="00AF2286"/>
    <w:rsid w:val="00AF2C43"/>
    <w:rsid w:val="00AF51CE"/>
    <w:rsid w:val="00AF60D8"/>
    <w:rsid w:val="00AF60DC"/>
    <w:rsid w:val="00AF6228"/>
    <w:rsid w:val="00AF66DF"/>
    <w:rsid w:val="00B00523"/>
    <w:rsid w:val="00B00630"/>
    <w:rsid w:val="00B0094F"/>
    <w:rsid w:val="00B0442E"/>
    <w:rsid w:val="00B06C5B"/>
    <w:rsid w:val="00B06D97"/>
    <w:rsid w:val="00B12916"/>
    <w:rsid w:val="00B1357E"/>
    <w:rsid w:val="00B13B73"/>
    <w:rsid w:val="00B141CB"/>
    <w:rsid w:val="00B149BB"/>
    <w:rsid w:val="00B155CC"/>
    <w:rsid w:val="00B17764"/>
    <w:rsid w:val="00B2142C"/>
    <w:rsid w:val="00B22C7B"/>
    <w:rsid w:val="00B258B4"/>
    <w:rsid w:val="00B25DE9"/>
    <w:rsid w:val="00B2766A"/>
    <w:rsid w:val="00B30A9F"/>
    <w:rsid w:val="00B30C1A"/>
    <w:rsid w:val="00B31D90"/>
    <w:rsid w:val="00B33AA6"/>
    <w:rsid w:val="00B340E9"/>
    <w:rsid w:val="00B358BE"/>
    <w:rsid w:val="00B3729C"/>
    <w:rsid w:val="00B3768B"/>
    <w:rsid w:val="00B413BB"/>
    <w:rsid w:val="00B4268D"/>
    <w:rsid w:val="00B42782"/>
    <w:rsid w:val="00B44DCD"/>
    <w:rsid w:val="00B4594C"/>
    <w:rsid w:val="00B46CEF"/>
    <w:rsid w:val="00B52394"/>
    <w:rsid w:val="00B53671"/>
    <w:rsid w:val="00B53861"/>
    <w:rsid w:val="00B54B6A"/>
    <w:rsid w:val="00B54E5F"/>
    <w:rsid w:val="00B552B3"/>
    <w:rsid w:val="00B55563"/>
    <w:rsid w:val="00B5622D"/>
    <w:rsid w:val="00B604DB"/>
    <w:rsid w:val="00B60FD0"/>
    <w:rsid w:val="00B6210A"/>
    <w:rsid w:val="00B63B6E"/>
    <w:rsid w:val="00B63C8A"/>
    <w:rsid w:val="00B641A8"/>
    <w:rsid w:val="00B64ECF"/>
    <w:rsid w:val="00B6524B"/>
    <w:rsid w:val="00B653EB"/>
    <w:rsid w:val="00B6587E"/>
    <w:rsid w:val="00B67944"/>
    <w:rsid w:val="00B67DBE"/>
    <w:rsid w:val="00B72E15"/>
    <w:rsid w:val="00B72F98"/>
    <w:rsid w:val="00B73878"/>
    <w:rsid w:val="00B73B71"/>
    <w:rsid w:val="00B73D14"/>
    <w:rsid w:val="00B746FB"/>
    <w:rsid w:val="00B74723"/>
    <w:rsid w:val="00B74DBB"/>
    <w:rsid w:val="00B764BE"/>
    <w:rsid w:val="00B7666E"/>
    <w:rsid w:val="00B7747B"/>
    <w:rsid w:val="00B8168D"/>
    <w:rsid w:val="00B822A4"/>
    <w:rsid w:val="00B83525"/>
    <w:rsid w:val="00B8452A"/>
    <w:rsid w:val="00B84FA6"/>
    <w:rsid w:val="00B851EC"/>
    <w:rsid w:val="00B86B1D"/>
    <w:rsid w:val="00B874E9"/>
    <w:rsid w:val="00B879A0"/>
    <w:rsid w:val="00B87DD9"/>
    <w:rsid w:val="00B910A4"/>
    <w:rsid w:val="00B92D22"/>
    <w:rsid w:val="00B92DC1"/>
    <w:rsid w:val="00B92E26"/>
    <w:rsid w:val="00B93045"/>
    <w:rsid w:val="00B951AC"/>
    <w:rsid w:val="00B965C7"/>
    <w:rsid w:val="00B977C3"/>
    <w:rsid w:val="00B97DDF"/>
    <w:rsid w:val="00BA0581"/>
    <w:rsid w:val="00BA1C8B"/>
    <w:rsid w:val="00BA28B6"/>
    <w:rsid w:val="00BA28D4"/>
    <w:rsid w:val="00BA2B4E"/>
    <w:rsid w:val="00BA2D9B"/>
    <w:rsid w:val="00BA3E09"/>
    <w:rsid w:val="00BA5A40"/>
    <w:rsid w:val="00BA63DF"/>
    <w:rsid w:val="00BA70C3"/>
    <w:rsid w:val="00BA7214"/>
    <w:rsid w:val="00BA7577"/>
    <w:rsid w:val="00BB00D3"/>
    <w:rsid w:val="00BB019F"/>
    <w:rsid w:val="00BB0FFD"/>
    <w:rsid w:val="00BB23E3"/>
    <w:rsid w:val="00BB2D67"/>
    <w:rsid w:val="00BB4612"/>
    <w:rsid w:val="00BB49AE"/>
    <w:rsid w:val="00BB6C00"/>
    <w:rsid w:val="00BB72F8"/>
    <w:rsid w:val="00BB7673"/>
    <w:rsid w:val="00BC0024"/>
    <w:rsid w:val="00BC0FAD"/>
    <w:rsid w:val="00BC1B02"/>
    <w:rsid w:val="00BC235C"/>
    <w:rsid w:val="00BC3597"/>
    <w:rsid w:val="00BC3A41"/>
    <w:rsid w:val="00BC3CF1"/>
    <w:rsid w:val="00BC4E3C"/>
    <w:rsid w:val="00BC4FB9"/>
    <w:rsid w:val="00BC68B9"/>
    <w:rsid w:val="00BC6AC9"/>
    <w:rsid w:val="00BC7855"/>
    <w:rsid w:val="00BD191C"/>
    <w:rsid w:val="00BD2E12"/>
    <w:rsid w:val="00BD2E6B"/>
    <w:rsid w:val="00BD3D52"/>
    <w:rsid w:val="00BD4C10"/>
    <w:rsid w:val="00BD4F3C"/>
    <w:rsid w:val="00BD5188"/>
    <w:rsid w:val="00BD56E1"/>
    <w:rsid w:val="00BD785C"/>
    <w:rsid w:val="00BE021F"/>
    <w:rsid w:val="00BE2169"/>
    <w:rsid w:val="00BE2CB4"/>
    <w:rsid w:val="00BE35D2"/>
    <w:rsid w:val="00BE4271"/>
    <w:rsid w:val="00BE7466"/>
    <w:rsid w:val="00BE76F9"/>
    <w:rsid w:val="00BE7C9A"/>
    <w:rsid w:val="00BF04C6"/>
    <w:rsid w:val="00BF11B8"/>
    <w:rsid w:val="00BF13FB"/>
    <w:rsid w:val="00BF22EE"/>
    <w:rsid w:val="00BF2819"/>
    <w:rsid w:val="00BF380E"/>
    <w:rsid w:val="00BF497B"/>
    <w:rsid w:val="00BF4A3A"/>
    <w:rsid w:val="00BF4C98"/>
    <w:rsid w:val="00BF578A"/>
    <w:rsid w:val="00BF6124"/>
    <w:rsid w:val="00BF77E2"/>
    <w:rsid w:val="00C013AA"/>
    <w:rsid w:val="00C03E5C"/>
    <w:rsid w:val="00C04B86"/>
    <w:rsid w:val="00C04C5A"/>
    <w:rsid w:val="00C06E4A"/>
    <w:rsid w:val="00C1268B"/>
    <w:rsid w:val="00C12BAA"/>
    <w:rsid w:val="00C1432F"/>
    <w:rsid w:val="00C15571"/>
    <w:rsid w:val="00C1758C"/>
    <w:rsid w:val="00C17DBD"/>
    <w:rsid w:val="00C20D73"/>
    <w:rsid w:val="00C224BB"/>
    <w:rsid w:val="00C246DD"/>
    <w:rsid w:val="00C24A02"/>
    <w:rsid w:val="00C26E47"/>
    <w:rsid w:val="00C27518"/>
    <w:rsid w:val="00C3029B"/>
    <w:rsid w:val="00C30321"/>
    <w:rsid w:val="00C32021"/>
    <w:rsid w:val="00C332D1"/>
    <w:rsid w:val="00C33AD4"/>
    <w:rsid w:val="00C34661"/>
    <w:rsid w:val="00C348B2"/>
    <w:rsid w:val="00C34BD6"/>
    <w:rsid w:val="00C34F4F"/>
    <w:rsid w:val="00C35D16"/>
    <w:rsid w:val="00C40003"/>
    <w:rsid w:val="00C40553"/>
    <w:rsid w:val="00C41323"/>
    <w:rsid w:val="00C416FE"/>
    <w:rsid w:val="00C422CC"/>
    <w:rsid w:val="00C42C0C"/>
    <w:rsid w:val="00C43772"/>
    <w:rsid w:val="00C4564D"/>
    <w:rsid w:val="00C45941"/>
    <w:rsid w:val="00C46E8D"/>
    <w:rsid w:val="00C47120"/>
    <w:rsid w:val="00C4774F"/>
    <w:rsid w:val="00C47E6A"/>
    <w:rsid w:val="00C50223"/>
    <w:rsid w:val="00C502A7"/>
    <w:rsid w:val="00C50F49"/>
    <w:rsid w:val="00C54E4F"/>
    <w:rsid w:val="00C5600C"/>
    <w:rsid w:val="00C5650F"/>
    <w:rsid w:val="00C56E88"/>
    <w:rsid w:val="00C61617"/>
    <w:rsid w:val="00C63047"/>
    <w:rsid w:val="00C63B99"/>
    <w:rsid w:val="00C64EC8"/>
    <w:rsid w:val="00C654F5"/>
    <w:rsid w:val="00C65C67"/>
    <w:rsid w:val="00C66409"/>
    <w:rsid w:val="00C678AA"/>
    <w:rsid w:val="00C703FB"/>
    <w:rsid w:val="00C71E29"/>
    <w:rsid w:val="00C73E4D"/>
    <w:rsid w:val="00C74E44"/>
    <w:rsid w:val="00C74E62"/>
    <w:rsid w:val="00C75245"/>
    <w:rsid w:val="00C757DB"/>
    <w:rsid w:val="00C75A99"/>
    <w:rsid w:val="00C7655E"/>
    <w:rsid w:val="00C773ED"/>
    <w:rsid w:val="00C80E93"/>
    <w:rsid w:val="00C8147C"/>
    <w:rsid w:val="00C827BE"/>
    <w:rsid w:val="00C827F9"/>
    <w:rsid w:val="00C85F31"/>
    <w:rsid w:val="00C86E82"/>
    <w:rsid w:val="00C87494"/>
    <w:rsid w:val="00C87D11"/>
    <w:rsid w:val="00C87ED9"/>
    <w:rsid w:val="00C92610"/>
    <w:rsid w:val="00C93FC6"/>
    <w:rsid w:val="00C94C12"/>
    <w:rsid w:val="00C95930"/>
    <w:rsid w:val="00C95A1D"/>
    <w:rsid w:val="00C972D7"/>
    <w:rsid w:val="00C975D8"/>
    <w:rsid w:val="00CA00A0"/>
    <w:rsid w:val="00CA0243"/>
    <w:rsid w:val="00CA030D"/>
    <w:rsid w:val="00CA1BDF"/>
    <w:rsid w:val="00CA2BFC"/>
    <w:rsid w:val="00CA41CE"/>
    <w:rsid w:val="00CA4C12"/>
    <w:rsid w:val="00CA555C"/>
    <w:rsid w:val="00CA5CE8"/>
    <w:rsid w:val="00CA5D2C"/>
    <w:rsid w:val="00CA65F4"/>
    <w:rsid w:val="00CA695D"/>
    <w:rsid w:val="00CB0BA8"/>
    <w:rsid w:val="00CB0FB2"/>
    <w:rsid w:val="00CB2B74"/>
    <w:rsid w:val="00CB39F6"/>
    <w:rsid w:val="00CB3CCC"/>
    <w:rsid w:val="00CB494F"/>
    <w:rsid w:val="00CB4BCA"/>
    <w:rsid w:val="00CC0615"/>
    <w:rsid w:val="00CC0FAE"/>
    <w:rsid w:val="00CC2F66"/>
    <w:rsid w:val="00CC447E"/>
    <w:rsid w:val="00CC4DE1"/>
    <w:rsid w:val="00CC5820"/>
    <w:rsid w:val="00CC696A"/>
    <w:rsid w:val="00CC797C"/>
    <w:rsid w:val="00CD37A8"/>
    <w:rsid w:val="00CD37BC"/>
    <w:rsid w:val="00CD5016"/>
    <w:rsid w:val="00CE092E"/>
    <w:rsid w:val="00CE428D"/>
    <w:rsid w:val="00CE6800"/>
    <w:rsid w:val="00CE685A"/>
    <w:rsid w:val="00CE6FF7"/>
    <w:rsid w:val="00CE76E8"/>
    <w:rsid w:val="00CF0458"/>
    <w:rsid w:val="00CF16CB"/>
    <w:rsid w:val="00CF1ABE"/>
    <w:rsid w:val="00CF2471"/>
    <w:rsid w:val="00CF2497"/>
    <w:rsid w:val="00CF3100"/>
    <w:rsid w:val="00CF32BF"/>
    <w:rsid w:val="00CF352B"/>
    <w:rsid w:val="00CF3878"/>
    <w:rsid w:val="00CF4BFC"/>
    <w:rsid w:val="00CF4D0E"/>
    <w:rsid w:val="00CF4D4F"/>
    <w:rsid w:val="00CF5FBE"/>
    <w:rsid w:val="00CF6A1A"/>
    <w:rsid w:val="00CF7EF7"/>
    <w:rsid w:val="00D00FFE"/>
    <w:rsid w:val="00D01847"/>
    <w:rsid w:val="00D02798"/>
    <w:rsid w:val="00D030BD"/>
    <w:rsid w:val="00D03344"/>
    <w:rsid w:val="00D037D5"/>
    <w:rsid w:val="00D053B9"/>
    <w:rsid w:val="00D059FA"/>
    <w:rsid w:val="00D05A7A"/>
    <w:rsid w:val="00D06370"/>
    <w:rsid w:val="00D06385"/>
    <w:rsid w:val="00D10429"/>
    <w:rsid w:val="00D10E8C"/>
    <w:rsid w:val="00D1199C"/>
    <w:rsid w:val="00D11CC7"/>
    <w:rsid w:val="00D139BE"/>
    <w:rsid w:val="00D147A5"/>
    <w:rsid w:val="00D159FA"/>
    <w:rsid w:val="00D2133B"/>
    <w:rsid w:val="00D21B86"/>
    <w:rsid w:val="00D21D5C"/>
    <w:rsid w:val="00D22102"/>
    <w:rsid w:val="00D2247B"/>
    <w:rsid w:val="00D22973"/>
    <w:rsid w:val="00D24B10"/>
    <w:rsid w:val="00D251CD"/>
    <w:rsid w:val="00D26538"/>
    <w:rsid w:val="00D26ADA"/>
    <w:rsid w:val="00D26CB2"/>
    <w:rsid w:val="00D26E53"/>
    <w:rsid w:val="00D26E81"/>
    <w:rsid w:val="00D27F5B"/>
    <w:rsid w:val="00D32E59"/>
    <w:rsid w:val="00D330D2"/>
    <w:rsid w:val="00D33F3F"/>
    <w:rsid w:val="00D34ACC"/>
    <w:rsid w:val="00D3525A"/>
    <w:rsid w:val="00D35A13"/>
    <w:rsid w:val="00D36A17"/>
    <w:rsid w:val="00D36D41"/>
    <w:rsid w:val="00D372A7"/>
    <w:rsid w:val="00D41D3A"/>
    <w:rsid w:val="00D421EE"/>
    <w:rsid w:val="00D42A8E"/>
    <w:rsid w:val="00D4387F"/>
    <w:rsid w:val="00D43C9B"/>
    <w:rsid w:val="00D5056D"/>
    <w:rsid w:val="00D534F9"/>
    <w:rsid w:val="00D53AE5"/>
    <w:rsid w:val="00D53D07"/>
    <w:rsid w:val="00D541C0"/>
    <w:rsid w:val="00D550A0"/>
    <w:rsid w:val="00D550A8"/>
    <w:rsid w:val="00D55A0F"/>
    <w:rsid w:val="00D57BB6"/>
    <w:rsid w:val="00D57D27"/>
    <w:rsid w:val="00D6108C"/>
    <w:rsid w:val="00D61F93"/>
    <w:rsid w:val="00D623C1"/>
    <w:rsid w:val="00D625D0"/>
    <w:rsid w:val="00D62C5F"/>
    <w:rsid w:val="00D62CFD"/>
    <w:rsid w:val="00D66389"/>
    <w:rsid w:val="00D66672"/>
    <w:rsid w:val="00D66E6E"/>
    <w:rsid w:val="00D70CFE"/>
    <w:rsid w:val="00D73D99"/>
    <w:rsid w:val="00D74A03"/>
    <w:rsid w:val="00D75346"/>
    <w:rsid w:val="00D753BC"/>
    <w:rsid w:val="00D80B68"/>
    <w:rsid w:val="00D814BB"/>
    <w:rsid w:val="00D81773"/>
    <w:rsid w:val="00D8292F"/>
    <w:rsid w:val="00D851A1"/>
    <w:rsid w:val="00D85C6F"/>
    <w:rsid w:val="00D900F2"/>
    <w:rsid w:val="00D90658"/>
    <w:rsid w:val="00D94BD8"/>
    <w:rsid w:val="00D96D52"/>
    <w:rsid w:val="00D975B9"/>
    <w:rsid w:val="00DA015B"/>
    <w:rsid w:val="00DA0AF7"/>
    <w:rsid w:val="00DA35E3"/>
    <w:rsid w:val="00DA5C46"/>
    <w:rsid w:val="00DA7372"/>
    <w:rsid w:val="00DB07B6"/>
    <w:rsid w:val="00DB0B74"/>
    <w:rsid w:val="00DB147F"/>
    <w:rsid w:val="00DB214E"/>
    <w:rsid w:val="00DB32FE"/>
    <w:rsid w:val="00DB40FA"/>
    <w:rsid w:val="00DB4FCB"/>
    <w:rsid w:val="00DB5B6E"/>
    <w:rsid w:val="00DB6E2B"/>
    <w:rsid w:val="00DB7137"/>
    <w:rsid w:val="00DB783C"/>
    <w:rsid w:val="00DB7859"/>
    <w:rsid w:val="00DC03F3"/>
    <w:rsid w:val="00DC237E"/>
    <w:rsid w:val="00DC2A2F"/>
    <w:rsid w:val="00DC2AA2"/>
    <w:rsid w:val="00DC2DB8"/>
    <w:rsid w:val="00DC38D9"/>
    <w:rsid w:val="00DC3C8E"/>
    <w:rsid w:val="00DC423C"/>
    <w:rsid w:val="00DC5D69"/>
    <w:rsid w:val="00DC7EE9"/>
    <w:rsid w:val="00DD0295"/>
    <w:rsid w:val="00DD0739"/>
    <w:rsid w:val="00DD0B41"/>
    <w:rsid w:val="00DD1AC0"/>
    <w:rsid w:val="00DD26F4"/>
    <w:rsid w:val="00DD3C8E"/>
    <w:rsid w:val="00DD4D0A"/>
    <w:rsid w:val="00DD503A"/>
    <w:rsid w:val="00DD5834"/>
    <w:rsid w:val="00DE005C"/>
    <w:rsid w:val="00DE00B7"/>
    <w:rsid w:val="00DE0758"/>
    <w:rsid w:val="00DE1338"/>
    <w:rsid w:val="00DE2491"/>
    <w:rsid w:val="00DE25E6"/>
    <w:rsid w:val="00DE2CD1"/>
    <w:rsid w:val="00DE2F0F"/>
    <w:rsid w:val="00DE3928"/>
    <w:rsid w:val="00DE3ED3"/>
    <w:rsid w:val="00DE4592"/>
    <w:rsid w:val="00DE4991"/>
    <w:rsid w:val="00DE4BCF"/>
    <w:rsid w:val="00DE66FA"/>
    <w:rsid w:val="00DE7E3F"/>
    <w:rsid w:val="00DF060C"/>
    <w:rsid w:val="00DF0A40"/>
    <w:rsid w:val="00DF0B52"/>
    <w:rsid w:val="00DF1F32"/>
    <w:rsid w:val="00DF46A4"/>
    <w:rsid w:val="00DF63A7"/>
    <w:rsid w:val="00E003BB"/>
    <w:rsid w:val="00E01C06"/>
    <w:rsid w:val="00E02D18"/>
    <w:rsid w:val="00E037DC"/>
    <w:rsid w:val="00E04DBC"/>
    <w:rsid w:val="00E10984"/>
    <w:rsid w:val="00E11CB3"/>
    <w:rsid w:val="00E129E4"/>
    <w:rsid w:val="00E12B66"/>
    <w:rsid w:val="00E1604D"/>
    <w:rsid w:val="00E16749"/>
    <w:rsid w:val="00E169FF"/>
    <w:rsid w:val="00E17384"/>
    <w:rsid w:val="00E17E04"/>
    <w:rsid w:val="00E17F9F"/>
    <w:rsid w:val="00E21C3B"/>
    <w:rsid w:val="00E24839"/>
    <w:rsid w:val="00E24FB9"/>
    <w:rsid w:val="00E24FFB"/>
    <w:rsid w:val="00E254EF"/>
    <w:rsid w:val="00E2552F"/>
    <w:rsid w:val="00E26B77"/>
    <w:rsid w:val="00E26E41"/>
    <w:rsid w:val="00E27E3C"/>
    <w:rsid w:val="00E30567"/>
    <w:rsid w:val="00E306E6"/>
    <w:rsid w:val="00E30DF4"/>
    <w:rsid w:val="00E32983"/>
    <w:rsid w:val="00E33EAA"/>
    <w:rsid w:val="00E353C5"/>
    <w:rsid w:val="00E357C1"/>
    <w:rsid w:val="00E405EB"/>
    <w:rsid w:val="00E428B8"/>
    <w:rsid w:val="00E43C1F"/>
    <w:rsid w:val="00E44294"/>
    <w:rsid w:val="00E4457B"/>
    <w:rsid w:val="00E44787"/>
    <w:rsid w:val="00E45632"/>
    <w:rsid w:val="00E51672"/>
    <w:rsid w:val="00E53242"/>
    <w:rsid w:val="00E539C0"/>
    <w:rsid w:val="00E53C44"/>
    <w:rsid w:val="00E5403D"/>
    <w:rsid w:val="00E540FD"/>
    <w:rsid w:val="00E5433A"/>
    <w:rsid w:val="00E550D5"/>
    <w:rsid w:val="00E5591D"/>
    <w:rsid w:val="00E564C9"/>
    <w:rsid w:val="00E56A18"/>
    <w:rsid w:val="00E56E86"/>
    <w:rsid w:val="00E5768A"/>
    <w:rsid w:val="00E579DB"/>
    <w:rsid w:val="00E57BE5"/>
    <w:rsid w:val="00E61762"/>
    <w:rsid w:val="00E61E30"/>
    <w:rsid w:val="00E626F5"/>
    <w:rsid w:val="00E62C03"/>
    <w:rsid w:val="00E62F81"/>
    <w:rsid w:val="00E63234"/>
    <w:rsid w:val="00E64A32"/>
    <w:rsid w:val="00E6610E"/>
    <w:rsid w:val="00E700A8"/>
    <w:rsid w:val="00E70F1A"/>
    <w:rsid w:val="00E71273"/>
    <w:rsid w:val="00E71364"/>
    <w:rsid w:val="00E724B2"/>
    <w:rsid w:val="00E72561"/>
    <w:rsid w:val="00E72D8B"/>
    <w:rsid w:val="00E731A7"/>
    <w:rsid w:val="00E74C0C"/>
    <w:rsid w:val="00E80BE7"/>
    <w:rsid w:val="00E812BB"/>
    <w:rsid w:val="00E82653"/>
    <w:rsid w:val="00E82F41"/>
    <w:rsid w:val="00E83339"/>
    <w:rsid w:val="00E8339D"/>
    <w:rsid w:val="00E8583D"/>
    <w:rsid w:val="00E860C6"/>
    <w:rsid w:val="00E87967"/>
    <w:rsid w:val="00E90015"/>
    <w:rsid w:val="00E90408"/>
    <w:rsid w:val="00E90BEE"/>
    <w:rsid w:val="00E91C77"/>
    <w:rsid w:val="00E92273"/>
    <w:rsid w:val="00E928FD"/>
    <w:rsid w:val="00E9354B"/>
    <w:rsid w:val="00E9416B"/>
    <w:rsid w:val="00E946F5"/>
    <w:rsid w:val="00E95AF9"/>
    <w:rsid w:val="00E95C39"/>
    <w:rsid w:val="00E961AD"/>
    <w:rsid w:val="00E965F5"/>
    <w:rsid w:val="00E96AC4"/>
    <w:rsid w:val="00E96BB5"/>
    <w:rsid w:val="00E96EBF"/>
    <w:rsid w:val="00E96F84"/>
    <w:rsid w:val="00E973EA"/>
    <w:rsid w:val="00EA132F"/>
    <w:rsid w:val="00EA2682"/>
    <w:rsid w:val="00EB01C7"/>
    <w:rsid w:val="00EB05AD"/>
    <w:rsid w:val="00EB0B9B"/>
    <w:rsid w:val="00EB2A59"/>
    <w:rsid w:val="00EB343A"/>
    <w:rsid w:val="00EB4260"/>
    <w:rsid w:val="00EB5A4D"/>
    <w:rsid w:val="00EC0360"/>
    <w:rsid w:val="00EC079D"/>
    <w:rsid w:val="00EC09FE"/>
    <w:rsid w:val="00EC0DF5"/>
    <w:rsid w:val="00EC5EAB"/>
    <w:rsid w:val="00EC62B6"/>
    <w:rsid w:val="00EC7394"/>
    <w:rsid w:val="00EC7F08"/>
    <w:rsid w:val="00ED01C5"/>
    <w:rsid w:val="00ED113F"/>
    <w:rsid w:val="00ED2AFC"/>
    <w:rsid w:val="00ED45F2"/>
    <w:rsid w:val="00ED4715"/>
    <w:rsid w:val="00ED4926"/>
    <w:rsid w:val="00ED4E99"/>
    <w:rsid w:val="00EE1197"/>
    <w:rsid w:val="00EE30D4"/>
    <w:rsid w:val="00EE4002"/>
    <w:rsid w:val="00EE5DAD"/>
    <w:rsid w:val="00EE61EF"/>
    <w:rsid w:val="00EE6A86"/>
    <w:rsid w:val="00EF1618"/>
    <w:rsid w:val="00EF2AAB"/>
    <w:rsid w:val="00EF33E1"/>
    <w:rsid w:val="00EF46C7"/>
    <w:rsid w:val="00EF495C"/>
    <w:rsid w:val="00EF66B5"/>
    <w:rsid w:val="00EF718C"/>
    <w:rsid w:val="00F00083"/>
    <w:rsid w:val="00F00F9B"/>
    <w:rsid w:val="00F014F0"/>
    <w:rsid w:val="00F015C4"/>
    <w:rsid w:val="00F0177F"/>
    <w:rsid w:val="00F021B1"/>
    <w:rsid w:val="00F0383E"/>
    <w:rsid w:val="00F042AC"/>
    <w:rsid w:val="00F056A4"/>
    <w:rsid w:val="00F056DA"/>
    <w:rsid w:val="00F067C7"/>
    <w:rsid w:val="00F068AA"/>
    <w:rsid w:val="00F10312"/>
    <w:rsid w:val="00F10988"/>
    <w:rsid w:val="00F11218"/>
    <w:rsid w:val="00F11BAC"/>
    <w:rsid w:val="00F12346"/>
    <w:rsid w:val="00F1322D"/>
    <w:rsid w:val="00F15D61"/>
    <w:rsid w:val="00F166D6"/>
    <w:rsid w:val="00F17FF4"/>
    <w:rsid w:val="00F20647"/>
    <w:rsid w:val="00F207A0"/>
    <w:rsid w:val="00F215CE"/>
    <w:rsid w:val="00F22AE0"/>
    <w:rsid w:val="00F234B8"/>
    <w:rsid w:val="00F2352F"/>
    <w:rsid w:val="00F23663"/>
    <w:rsid w:val="00F2369C"/>
    <w:rsid w:val="00F2505F"/>
    <w:rsid w:val="00F27E2D"/>
    <w:rsid w:val="00F27F5E"/>
    <w:rsid w:val="00F33965"/>
    <w:rsid w:val="00F33F72"/>
    <w:rsid w:val="00F34086"/>
    <w:rsid w:val="00F34990"/>
    <w:rsid w:val="00F34FD5"/>
    <w:rsid w:val="00F355E1"/>
    <w:rsid w:val="00F35851"/>
    <w:rsid w:val="00F36832"/>
    <w:rsid w:val="00F36AAB"/>
    <w:rsid w:val="00F4010C"/>
    <w:rsid w:val="00F412E0"/>
    <w:rsid w:val="00F414BE"/>
    <w:rsid w:val="00F421A9"/>
    <w:rsid w:val="00F441A6"/>
    <w:rsid w:val="00F447A1"/>
    <w:rsid w:val="00F45023"/>
    <w:rsid w:val="00F458ED"/>
    <w:rsid w:val="00F502B1"/>
    <w:rsid w:val="00F50D23"/>
    <w:rsid w:val="00F52C70"/>
    <w:rsid w:val="00F537EC"/>
    <w:rsid w:val="00F53FA4"/>
    <w:rsid w:val="00F54B1E"/>
    <w:rsid w:val="00F562DF"/>
    <w:rsid w:val="00F5697E"/>
    <w:rsid w:val="00F61E4C"/>
    <w:rsid w:val="00F66E48"/>
    <w:rsid w:val="00F67DC1"/>
    <w:rsid w:val="00F7002E"/>
    <w:rsid w:val="00F70E09"/>
    <w:rsid w:val="00F71425"/>
    <w:rsid w:val="00F73CBC"/>
    <w:rsid w:val="00F7497A"/>
    <w:rsid w:val="00F77D18"/>
    <w:rsid w:val="00F81941"/>
    <w:rsid w:val="00F82024"/>
    <w:rsid w:val="00F82337"/>
    <w:rsid w:val="00F829AE"/>
    <w:rsid w:val="00F838CC"/>
    <w:rsid w:val="00F84FA0"/>
    <w:rsid w:val="00F9046D"/>
    <w:rsid w:val="00F925B9"/>
    <w:rsid w:val="00F929EC"/>
    <w:rsid w:val="00F92A76"/>
    <w:rsid w:val="00F95816"/>
    <w:rsid w:val="00F97BE2"/>
    <w:rsid w:val="00FA0BB5"/>
    <w:rsid w:val="00FA117C"/>
    <w:rsid w:val="00FA156F"/>
    <w:rsid w:val="00FA223B"/>
    <w:rsid w:val="00FA3076"/>
    <w:rsid w:val="00FA3CCA"/>
    <w:rsid w:val="00FA3DE5"/>
    <w:rsid w:val="00FA426B"/>
    <w:rsid w:val="00FA4A96"/>
    <w:rsid w:val="00FA6670"/>
    <w:rsid w:val="00FA6AC8"/>
    <w:rsid w:val="00FB0818"/>
    <w:rsid w:val="00FB1123"/>
    <w:rsid w:val="00FB1563"/>
    <w:rsid w:val="00FB16DF"/>
    <w:rsid w:val="00FB1CAF"/>
    <w:rsid w:val="00FB1ED7"/>
    <w:rsid w:val="00FB1F63"/>
    <w:rsid w:val="00FB47C8"/>
    <w:rsid w:val="00FB4ADE"/>
    <w:rsid w:val="00FB5345"/>
    <w:rsid w:val="00FB6254"/>
    <w:rsid w:val="00FB667A"/>
    <w:rsid w:val="00FB6704"/>
    <w:rsid w:val="00FB6C47"/>
    <w:rsid w:val="00FB74AE"/>
    <w:rsid w:val="00FC01CF"/>
    <w:rsid w:val="00FC0956"/>
    <w:rsid w:val="00FC0C29"/>
    <w:rsid w:val="00FC2F52"/>
    <w:rsid w:val="00FC4620"/>
    <w:rsid w:val="00FC4A36"/>
    <w:rsid w:val="00FC4CB4"/>
    <w:rsid w:val="00FC70F1"/>
    <w:rsid w:val="00FC73D7"/>
    <w:rsid w:val="00FC79FC"/>
    <w:rsid w:val="00FD1E9B"/>
    <w:rsid w:val="00FD39DC"/>
    <w:rsid w:val="00FD4C84"/>
    <w:rsid w:val="00FD4CD1"/>
    <w:rsid w:val="00FD691A"/>
    <w:rsid w:val="00FD6F11"/>
    <w:rsid w:val="00FD72FD"/>
    <w:rsid w:val="00FD7E85"/>
    <w:rsid w:val="00FE0F7C"/>
    <w:rsid w:val="00FE18B9"/>
    <w:rsid w:val="00FE1B4E"/>
    <w:rsid w:val="00FE1BE0"/>
    <w:rsid w:val="00FE26B3"/>
    <w:rsid w:val="00FE313E"/>
    <w:rsid w:val="00FE3276"/>
    <w:rsid w:val="00FE5782"/>
    <w:rsid w:val="00FE5818"/>
    <w:rsid w:val="00FE5FD1"/>
    <w:rsid w:val="00FF0005"/>
    <w:rsid w:val="00FF05A0"/>
    <w:rsid w:val="00FF3BEC"/>
    <w:rsid w:val="00FF4429"/>
    <w:rsid w:val="00FF5A70"/>
    <w:rsid w:val="00FF6387"/>
    <w:rsid w:val="00FF6ADA"/>
    <w:rsid w:val="00FF6E81"/>
    <w:rsid w:val="00FF7499"/>
    <w:rsid w:val="5EE673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uiPriority="0" w:name="toc 4"/>
    <w:lsdException w:uiPriority="0" w:name="toc 5"/>
    <w:lsdException w:uiPriority="0" w:name="toc 6"/>
    <w:lsdException w:uiPriority="0" w:name="toc 7"/>
    <w:lsdException w:uiPriority="0" w:name="toc 8"/>
    <w:lsdException w:uiPriority="0" w:name="toc 9"/>
    <w:lsdException w:uiPriority="99" w:name="Normal Indent"/>
    <w:lsdException w:qFormat="1" w:uiPriority="0" w:semiHidden="0"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iPriority="0" w:name="Message Header"/>
    <w:lsdException w:qFormat="1" w:unhideWhenUsed="0" w:uiPriority="0" w:semiHidden="0" w:name="Subtitle"/>
    <w:lsdException w:uiPriority="99" w:name="Salutation"/>
    <w:lsdException w:qFormat="1" w:uiPriority="0" w:name="Date"/>
    <w:lsdException w:qFormat="1" w:uiPriority="0" w:name="Body Text First Indent"/>
    <w:lsdException w:qFormat="1" w:uiPriority="0" w:name="Body Text First Indent 2"/>
    <w:lsdException w:uiPriority="99" w:name="Note Heading"/>
    <w:lsdException w:qFormat="1" w:uiPriority="0" w:name="Body Text 2"/>
    <w:lsdException w:qFormat="1" w:uiPriority="0" w:name="Body Text 3"/>
    <w:lsdException w:qFormat="1" w:uiPriority="0" w:name="Body Text Indent 2"/>
    <w:lsdException w:qFormat="1" w:uiPriority="0" w:name="Body Text Indent 3"/>
    <w:lsdException w:uiPriority="99" w:name="Block Text"/>
    <w:lsdException w:uiPriority="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0" w:semiHidden="0" w:name="Plain Text"/>
    <w:lsdException w:uiPriority="99" w:name="E-mail Signature"/>
    <w:lsdException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IE" w:eastAsia="zh-CN" w:bidi="ar-SA"/>
    </w:rPr>
  </w:style>
  <w:style w:type="paragraph" w:styleId="2">
    <w:name w:val="heading 1"/>
    <w:basedOn w:val="1"/>
    <w:next w:val="1"/>
    <w:link w:val="41"/>
    <w:qFormat/>
    <w:uiPriority w:val="0"/>
    <w:pPr>
      <w:keepNext/>
      <w:keepLines/>
      <w:widowControl w:val="0"/>
      <w:spacing w:before="340" w:after="330" w:line="576" w:lineRule="auto"/>
      <w:jc w:val="both"/>
      <w:outlineLvl w:val="0"/>
    </w:pPr>
    <w:rPr>
      <w:rFonts w:ascii="Times New Roman" w:hAnsi="Times New Roman"/>
      <w:b/>
      <w:bCs/>
      <w:kern w:val="44"/>
      <w:sz w:val="44"/>
      <w:szCs w:val="44"/>
    </w:rPr>
  </w:style>
  <w:style w:type="paragraph" w:styleId="3">
    <w:name w:val="heading 2"/>
    <w:basedOn w:val="1"/>
    <w:next w:val="1"/>
    <w:link w:val="42"/>
    <w:qFormat/>
    <w:uiPriority w:val="0"/>
    <w:pPr>
      <w:keepNext/>
      <w:keepLines/>
      <w:widowControl w:val="0"/>
      <w:spacing w:before="260" w:after="260" w:line="412" w:lineRule="auto"/>
      <w:jc w:val="both"/>
      <w:outlineLvl w:val="1"/>
    </w:pPr>
    <w:rPr>
      <w:rFonts w:ascii="Arial" w:hAnsi="Arial" w:eastAsia="黑体"/>
      <w:b/>
      <w:bCs/>
      <w:kern w:val="2"/>
      <w:sz w:val="32"/>
      <w:szCs w:val="32"/>
    </w:rPr>
  </w:style>
  <w:style w:type="paragraph" w:styleId="4">
    <w:name w:val="heading 3"/>
    <w:basedOn w:val="1"/>
    <w:next w:val="1"/>
    <w:link w:val="43"/>
    <w:qFormat/>
    <w:uiPriority w:val="0"/>
    <w:pPr>
      <w:keepNext/>
      <w:spacing w:before="240" w:after="60"/>
      <w:outlineLvl w:val="2"/>
    </w:pPr>
    <w:rPr>
      <w:rFonts w:ascii="Cambria" w:hAnsi="Cambria"/>
      <w:b/>
      <w:bCs/>
      <w:sz w:val="26"/>
      <w:szCs w:val="26"/>
    </w:rPr>
  </w:style>
  <w:style w:type="paragraph" w:styleId="5">
    <w:name w:val="heading 4"/>
    <w:basedOn w:val="1"/>
    <w:next w:val="1"/>
    <w:link w:val="44"/>
    <w:qFormat/>
    <w:uiPriority w:val="0"/>
    <w:pPr>
      <w:keepNext/>
      <w:spacing w:before="240" w:after="60"/>
      <w:outlineLvl w:val="3"/>
    </w:pPr>
    <w:rPr>
      <w:b/>
      <w:bCs/>
      <w:sz w:val="28"/>
      <w:szCs w:val="28"/>
    </w:rPr>
  </w:style>
  <w:style w:type="paragraph" w:styleId="6">
    <w:name w:val="heading 5"/>
    <w:basedOn w:val="1"/>
    <w:next w:val="1"/>
    <w:link w:val="45"/>
    <w:qFormat/>
    <w:uiPriority w:val="0"/>
    <w:pPr>
      <w:keepNext/>
      <w:keepLines/>
      <w:spacing w:before="200" w:after="0"/>
      <w:outlineLvl w:val="4"/>
    </w:pPr>
    <w:rPr>
      <w:rFonts w:ascii="Cambria" w:hAnsi="Cambria"/>
      <w:color w:val="243F60"/>
      <w:sz w:val="20"/>
      <w:szCs w:val="20"/>
    </w:rPr>
  </w:style>
  <w:style w:type="paragraph" w:styleId="7">
    <w:name w:val="heading 6"/>
    <w:basedOn w:val="1"/>
    <w:next w:val="1"/>
    <w:link w:val="46"/>
    <w:qFormat/>
    <w:uiPriority w:val="0"/>
    <w:pPr>
      <w:keepNext/>
      <w:keepLines/>
      <w:spacing w:before="200" w:after="0"/>
      <w:outlineLvl w:val="5"/>
    </w:pPr>
    <w:rPr>
      <w:rFonts w:ascii="Cambria" w:hAnsi="Cambria"/>
      <w:i/>
      <w:iCs/>
      <w:color w:val="243F60"/>
      <w:sz w:val="20"/>
      <w:szCs w:val="20"/>
    </w:rPr>
  </w:style>
  <w:style w:type="paragraph" w:styleId="8">
    <w:name w:val="heading 7"/>
    <w:basedOn w:val="1"/>
    <w:next w:val="1"/>
    <w:link w:val="47"/>
    <w:qFormat/>
    <w:uiPriority w:val="0"/>
    <w:pPr>
      <w:keepNext/>
      <w:keepLines/>
      <w:spacing w:before="200" w:after="0"/>
      <w:outlineLvl w:val="6"/>
    </w:pPr>
    <w:rPr>
      <w:rFonts w:ascii="Cambria" w:hAnsi="Cambria"/>
      <w:i/>
      <w:iCs/>
      <w:color w:val="404040"/>
      <w:sz w:val="20"/>
      <w:szCs w:val="20"/>
    </w:rPr>
  </w:style>
  <w:style w:type="paragraph" w:styleId="9">
    <w:name w:val="heading 8"/>
    <w:basedOn w:val="1"/>
    <w:next w:val="1"/>
    <w:link w:val="48"/>
    <w:qFormat/>
    <w:uiPriority w:val="0"/>
    <w:pPr>
      <w:keepNext/>
      <w:keepLines/>
      <w:spacing w:before="200" w:after="0"/>
      <w:outlineLvl w:val="7"/>
    </w:pPr>
    <w:rPr>
      <w:rFonts w:ascii="Cambria" w:hAnsi="Cambria"/>
      <w:color w:val="4F81BD"/>
      <w:sz w:val="20"/>
      <w:szCs w:val="20"/>
    </w:rPr>
  </w:style>
  <w:style w:type="paragraph" w:styleId="10">
    <w:name w:val="heading 9"/>
    <w:basedOn w:val="1"/>
    <w:next w:val="1"/>
    <w:link w:val="49"/>
    <w:qFormat/>
    <w:uiPriority w:val="0"/>
    <w:pPr>
      <w:keepNext/>
      <w:keepLines/>
      <w:spacing w:before="200" w:after="0"/>
      <w:outlineLvl w:val="8"/>
    </w:pPr>
    <w:rPr>
      <w:rFonts w:ascii="Cambria" w:hAnsi="Cambria"/>
      <w:i/>
      <w:iCs/>
      <w:color w:val="404040"/>
      <w:sz w:val="20"/>
      <w:szCs w:val="20"/>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spacing w:line="240" w:lineRule="auto"/>
    </w:pPr>
    <w:rPr>
      <w:b/>
      <w:bCs/>
      <w:color w:val="4F81BD"/>
      <w:sz w:val="18"/>
      <w:szCs w:val="18"/>
      <w:lang w:val="en-US" w:eastAsia="en-US" w:bidi="en-US"/>
    </w:rPr>
  </w:style>
  <w:style w:type="paragraph" w:styleId="12">
    <w:name w:val="Document Map"/>
    <w:basedOn w:val="1"/>
    <w:link w:val="57"/>
    <w:semiHidden/>
    <w:qFormat/>
    <w:uiPriority w:val="0"/>
    <w:pPr>
      <w:shd w:val="clear" w:color="auto" w:fill="000080"/>
    </w:pPr>
  </w:style>
  <w:style w:type="paragraph" w:styleId="13">
    <w:name w:val="annotation text"/>
    <w:basedOn w:val="1"/>
    <w:link w:val="53"/>
    <w:unhideWhenUsed/>
    <w:qFormat/>
    <w:uiPriority w:val="99"/>
    <w:rPr>
      <w:sz w:val="20"/>
      <w:szCs w:val="20"/>
    </w:rPr>
  </w:style>
  <w:style w:type="paragraph" w:styleId="14">
    <w:name w:val="Body Text 3"/>
    <w:basedOn w:val="1"/>
    <w:link w:val="71"/>
    <w:semiHidden/>
    <w:unhideWhenUsed/>
    <w:qFormat/>
    <w:uiPriority w:val="0"/>
    <w:pPr>
      <w:widowControl w:val="0"/>
      <w:spacing w:after="0" w:line="360" w:lineRule="auto"/>
      <w:jc w:val="both"/>
    </w:pPr>
    <w:rPr>
      <w:rFonts w:ascii="Times New Roman" w:hAnsi="Times New Roman"/>
      <w:kern w:val="2"/>
      <w:sz w:val="18"/>
      <w:szCs w:val="24"/>
    </w:rPr>
  </w:style>
  <w:style w:type="paragraph" w:styleId="15">
    <w:name w:val="Body Text"/>
    <w:basedOn w:val="1"/>
    <w:link w:val="61"/>
    <w:unhideWhenUsed/>
    <w:qFormat/>
    <w:uiPriority w:val="0"/>
    <w:pPr>
      <w:widowControl w:val="0"/>
      <w:tabs>
        <w:tab w:val="left" w:pos="2415"/>
      </w:tabs>
      <w:spacing w:after="0" w:line="600" w:lineRule="exact"/>
      <w:jc w:val="both"/>
    </w:pPr>
    <w:rPr>
      <w:rFonts w:ascii="宋体" w:hAnsi="宋体"/>
      <w:sz w:val="28"/>
      <w:szCs w:val="28"/>
    </w:rPr>
  </w:style>
  <w:style w:type="paragraph" w:styleId="16">
    <w:name w:val="Body Text Indent"/>
    <w:basedOn w:val="1"/>
    <w:link w:val="63"/>
    <w:semiHidden/>
    <w:unhideWhenUsed/>
    <w:qFormat/>
    <w:uiPriority w:val="0"/>
    <w:pPr>
      <w:widowControl w:val="0"/>
      <w:spacing w:after="120" w:line="240" w:lineRule="auto"/>
      <w:ind w:left="420" w:leftChars="200"/>
      <w:jc w:val="both"/>
    </w:pPr>
    <w:rPr>
      <w:sz w:val="20"/>
      <w:szCs w:val="24"/>
    </w:rPr>
  </w:style>
  <w:style w:type="paragraph" w:styleId="17">
    <w:name w:val="toc 3"/>
    <w:basedOn w:val="1"/>
    <w:next w:val="1"/>
    <w:unhideWhenUsed/>
    <w:qFormat/>
    <w:uiPriority w:val="0"/>
    <w:pPr>
      <w:spacing w:after="100"/>
      <w:ind w:left="720" w:hanging="578"/>
    </w:pPr>
  </w:style>
  <w:style w:type="paragraph" w:styleId="18">
    <w:name w:val="Plain Text"/>
    <w:basedOn w:val="1"/>
    <w:link w:val="74"/>
    <w:unhideWhenUsed/>
    <w:qFormat/>
    <w:uiPriority w:val="0"/>
    <w:pPr>
      <w:widowControl w:val="0"/>
      <w:spacing w:after="0" w:line="240" w:lineRule="auto"/>
      <w:jc w:val="both"/>
    </w:pPr>
    <w:rPr>
      <w:rFonts w:ascii="宋体" w:hAnsi="Courier New"/>
      <w:sz w:val="20"/>
      <w:szCs w:val="21"/>
    </w:rPr>
  </w:style>
  <w:style w:type="paragraph" w:styleId="19">
    <w:name w:val="Date"/>
    <w:basedOn w:val="1"/>
    <w:next w:val="1"/>
    <w:link w:val="67"/>
    <w:semiHidden/>
    <w:unhideWhenUsed/>
    <w:qFormat/>
    <w:uiPriority w:val="0"/>
    <w:pPr>
      <w:widowControl w:val="0"/>
      <w:spacing w:after="0" w:line="240" w:lineRule="auto"/>
      <w:jc w:val="both"/>
    </w:pPr>
    <w:rPr>
      <w:rFonts w:ascii="Times New Roman" w:hAnsi="Times New Roman"/>
      <w:kern w:val="2"/>
      <w:sz w:val="21"/>
      <w:szCs w:val="20"/>
    </w:rPr>
  </w:style>
  <w:style w:type="paragraph" w:styleId="20">
    <w:name w:val="Body Text Indent 2"/>
    <w:basedOn w:val="1"/>
    <w:link w:val="72"/>
    <w:semiHidden/>
    <w:unhideWhenUsed/>
    <w:qFormat/>
    <w:uiPriority w:val="0"/>
    <w:pPr>
      <w:widowControl w:val="0"/>
      <w:spacing w:after="120" w:line="480" w:lineRule="auto"/>
      <w:ind w:left="420" w:leftChars="200"/>
      <w:jc w:val="both"/>
    </w:pPr>
    <w:rPr>
      <w:rFonts w:ascii="Times New Roman" w:hAnsi="Times New Roman"/>
      <w:kern w:val="2"/>
      <w:sz w:val="21"/>
      <w:szCs w:val="20"/>
    </w:rPr>
  </w:style>
  <w:style w:type="paragraph" w:styleId="21">
    <w:name w:val="Balloon Text"/>
    <w:basedOn w:val="1"/>
    <w:link w:val="54"/>
    <w:unhideWhenUsed/>
    <w:qFormat/>
    <w:uiPriority w:val="0"/>
    <w:pPr>
      <w:spacing w:after="0" w:line="240" w:lineRule="auto"/>
    </w:pPr>
    <w:rPr>
      <w:rFonts w:ascii="宋体"/>
      <w:sz w:val="18"/>
      <w:szCs w:val="18"/>
    </w:rPr>
  </w:style>
  <w:style w:type="paragraph" w:styleId="22">
    <w:name w:val="footer"/>
    <w:basedOn w:val="1"/>
    <w:link w:val="52"/>
    <w:unhideWhenUsed/>
    <w:qFormat/>
    <w:uiPriority w:val="0"/>
    <w:pPr>
      <w:tabs>
        <w:tab w:val="center" w:pos="4153"/>
        <w:tab w:val="right" w:pos="8306"/>
      </w:tabs>
      <w:spacing w:after="0" w:line="240" w:lineRule="auto"/>
    </w:pPr>
    <w:rPr>
      <w:sz w:val="20"/>
      <w:szCs w:val="20"/>
    </w:rPr>
  </w:style>
  <w:style w:type="paragraph" w:styleId="23">
    <w:name w:val="header"/>
    <w:basedOn w:val="1"/>
    <w:link w:val="51"/>
    <w:unhideWhenUsed/>
    <w:qFormat/>
    <w:uiPriority w:val="0"/>
    <w:pPr>
      <w:tabs>
        <w:tab w:val="center" w:pos="4153"/>
        <w:tab w:val="right" w:pos="8306"/>
      </w:tabs>
      <w:spacing w:after="0" w:line="240" w:lineRule="auto"/>
    </w:pPr>
    <w:rPr>
      <w:sz w:val="20"/>
      <w:szCs w:val="20"/>
    </w:rPr>
  </w:style>
  <w:style w:type="paragraph" w:styleId="24">
    <w:name w:val="toc 1"/>
    <w:basedOn w:val="1"/>
    <w:next w:val="25"/>
    <w:qFormat/>
    <w:uiPriority w:val="0"/>
    <w:pPr>
      <w:tabs>
        <w:tab w:val="right" w:leader="dot" w:pos="9072"/>
        <w:tab w:val="right" w:pos="9355"/>
      </w:tabs>
      <w:spacing w:before="240" w:after="0" w:line="240" w:lineRule="auto"/>
      <w:ind w:left="851" w:right="850" w:hanging="851"/>
      <w:jc w:val="both"/>
    </w:pPr>
    <w:rPr>
      <w:rFonts w:ascii="Arial" w:hAnsi="Arial"/>
      <w:caps/>
      <w:lang w:val="en-US"/>
    </w:rPr>
  </w:style>
  <w:style w:type="paragraph" w:styleId="25">
    <w:name w:val="toc 2"/>
    <w:basedOn w:val="24"/>
    <w:next w:val="17"/>
    <w:qFormat/>
    <w:uiPriority w:val="0"/>
    <w:pPr>
      <w:tabs>
        <w:tab w:val="right" w:pos="9072"/>
      </w:tabs>
      <w:spacing w:before="60"/>
      <w:ind w:right="851"/>
    </w:pPr>
    <w:rPr>
      <w:caps w:val="0"/>
    </w:rPr>
  </w:style>
  <w:style w:type="paragraph" w:styleId="26">
    <w:name w:val="Subtitle"/>
    <w:basedOn w:val="1"/>
    <w:next w:val="1"/>
    <w:link w:val="66"/>
    <w:qFormat/>
    <w:uiPriority w:val="0"/>
    <w:rPr>
      <w:rFonts w:ascii="Cambria" w:hAnsi="Cambria"/>
      <w:i/>
      <w:iCs/>
      <w:color w:val="4F81BD"/>
      <w:spacing w:val="15"/>
      <w:sz w:val="24"/>
      <w:szCs w:val="24"/>
    </w:rPr>
  </w:style>
  <w:style w:type="paragraph" w:styleId="27">
    <w:name w:val="footnote text"/>
    <w:basedOn w:val="1"/>
    <w:link w:val="151"/>
    <w:unhideWhenUsed/>
    <w:qFormat/>
    <w:uiPriority w:val="0"/>
    <w:pPr>
      <w:widowControl w:val="0"/>
      <w:spacing w:after="0" w:line="240" w:lineRule="auto"/>
      <w:jc w:val="both"/>
    </w:pPr>
    <w:rPr>
      <w:kern w:val="2"/>
      <w:sz w:val="20"/>
      <w:szCs w:val="20"/>
      <w:lang w:val="en-US"/>
    </w:rPr>
  </w:style>
  <w:style w:type="paragraph" w:styleId="28">
    <w:name w:val="Body Text Indent 3"/>
    <w:basedOn w:val="1"/>
    <w:link w:val="73"/>
    <w:semiHidden/>
    <w:unhideWhenUsed/>
    <w:qFormat/>
    <w:uiPriority w:val="0"/>
    <w:pPr>
      <w:widowControl w:val="0"/>
      <w:spacing w:after="120" w:line="240" w:lineRule="auto"/>
      <w:ind w:left="420" w:leftChars="200"/>
      <w:jc w:val="both"/>
    </w:pPr>
    <w:rPr>
      <w:rFonts w:ascii="Times New Roman" w:hAnsi="Times New Roman"/>
      <w:kern w:val="2"/>
      <w:sz w:val="16"/>
      <w:szCs w:val="16"/>
    </w:rPr>
  </w:style>
  <w:style w:type="paragraph" w:styleId="29">
    <w:name w:val="Body Text 2"/>
    <w:basedOn w:val="1"/>
    <w:link w:val="70"/>
    <w:semiHidden/>
    <w:unhideWhenUsed/>
    <w:qFormat/>
    <w:uiPriority w:val="0"/>
    <w:pPr>
      <w:widowControl w:val="0"/>
      <w:spacing w:before="120" w:after="120" w:line="240" w:lineRule="auto"/>
      <w:jc w:val="center"/>
    </w:pPr>
    <w:rPr>
      <w:rFonts w:ascii="Times New Roman" w:hAnsi="Times New Roman"/>
      <w:sz w:val="18"/>
      <w:szCs w:val="18"/>
    </w:rPr>
  </w:style>
  <w:style w:type="paragraph" w:styleId="30">
    <w:name w:val="Message Header"/>
    <w:basedOn w:val="1"/>
    <w:link w:val="65"/>
    <w:semiHidden/>
    <w:unhideWhenUsed/>
    <w:qFormat/>
    <w:uiPriority w:val="0"/>
    <w:pPr>
      <w:widowControl w:val="0"/>
      <w:pBdr>
        <w:top w:val="single" w:color="auto" w:sz="6" w:space="1"/>
        <w:left w:val="single" w:color="auto" w:sz="6" w:space="1"/>
        <w:bottom w:val="single" w:color="auto" w:sz="6" w:space="1"/>
        <w:right w:val="single" w:color="auto" w:sz="6" w:space="1"/>
      </w:pBdr>
      <w:shd w:val="pct20" w:color="auto" w:fill="auto"/>
      <w:spacing w:after="0" w:line="360" w:lineRule="auto"/>
      <w:ind w:left="1080" w:leftChars="500" w:hanging="1080" w:hangingChars="500"/>
      <w:jc w:val="both"/>
    </w:pPr>
    <w:rPr>
      <w:rFonts w:ascii="Arial" w:hAnsi="Arial"/>
      <w:kern w:val="2"/>
      <w:sz w:val="24"/>
      <w:szCs w:val="24"/>
    </w:rPr>
  </w:style>
  <w:style w:type="paragraph" w:styleId="31">
    <w:name w:val="Title"/>
    <w:basedOn w:val="1"/>
    <w:next w:val="1"/>
    <w:link w:val="60"/>
    <w:qFormat/>
    <w:uiPriority w:val="0"/>
    <w:pPr>
      <w:pBdr>
        <w:bottom w:val="single" w:color="4F81BD" w:sz="8" w:space="4"/>
      </w:pBdr>
      <w:spacing w:after="300" w:line="240" w:lineRule="auto"/>
      <w:contextualSpacing/>
    </w:pPr>
    <w:rPr>
      <w:rFonts w:ascii="Cambria" w:hAnsi="Cambria"/>
      <w:color w:val="17365D"/>
      <w:spacing w:val="5"/>
      <w:kern w:val="28"/>
      <w:sz w:val="52"/>
      <w:szCs w:val="52"/>
    </w:rPr>
  </w:style>
  <w:style w:type="paragraph" w:styleId="32">
    <w:name w:val="annotation subject"/>
    <w:basedOn w:val="13"/>
    <w:next w:val="13"/>
    <w:link w:val="55"/>
    <w:unhideWhenUsed/>
    <w:qFormat/>
    <w:uiPriority w:val="0"/>
    <w:rPr>
      <w:b/>
      <w:bCs/>
      <w:sz w:val="22"/>
      <w:szCs w:val="22"/>
    </w:rPr>
  </w:style>
  <w:style w:type="paragraph" w:styleId="33">
    <w:name w:val="Body Text First Indent"/>
    <w:basedOn w:val="15"/>
    <w:link w:val="68"/>
    <w:semiHidden/>
    <w:unhideWhenUsed/>
    <w:qFormat/>
    <w:uiPriority w:val="0"/>
    <w:pPr>
      <w:widowControl/>
      <w:tabs>
        <w:tab w:val="clear" w:pos="2415"/>
      </w:tabs>
      <w:spacing w:after="120" w:line="360" w:lineRule="auto"/>
      <w:ind w:firstLine="420" w:firstLineChars="100"/>
    </w:pPr>
    <w:rPr>
      <w:rFonts w:ascii="Times New Roman" w:hAnsi="Times New Roman"/>
      <w:sz w:val="24"/>
      <w:szCs w:val="24"/>
    </w:rPr>
  </w:style>
  <w:style w:type="paragraph" w:styleId="34">
    <w:name w:val="Body Text First Indent 2"/>
    <w:basedOn w:val="16"/>
    <w:link w:val="69"/>
    <w:semiHidden/>
    <w:unhideWhenUsed/>
    <w:qFormat/>
    <w:uiPriority w:val="0"/>
    <w:pPr>
      <w:widowControl/>
      <w:spacing w:line="360" w:lineRule="auto"/>
      <w:ind w:firstLine="420" w:firstLineChars="200"/>
    </w:pPr>
    <w:rPr>
      <w:rFonts w:ascii="仿宋_GB2312" w:eastAsia="仿宋_GB2312"/>
      <w:sz w:val="24"/>
    </w:rPr>
  </w:style>
  <w:style w:type="table" w:styleId="36">
    <w:name w:val="Table Grid"/>
    <w:basedOn w:val="3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8">
    <w:name w:val="page number"/>
    <w:basedOn w:val="37"/>
    <w:qFormat/>
    <w:uiPriority w:val="0"/>
  </w:style>
  <w:style w:type="character" w:styleId="39">
    <w:name w:val="annotation reference"/>
    <w:unhideWhenUsed/>
    <w:qFormat/>
    <w:uiPriority w:val="99"/>
    <w:rPr>
      <w:sz w:val="16"/>
      <w:szCs w:val="16"/>
    </w:rPr>
  </w:style>
  <w:style w:type="character" w:styleId="40">
    <w:name w:val="footnote reference"/>
    <w:unhideWhenUsed/>
    <w:qFormat/>
    <w:uiPriority w:val="99"/>
    <w:rPr>
      <w:vertAlign w:val="superscript"/>
    </w:rPr>
  </w:style>
  <w:style w:type="character" w:customStyle="1" w:styleId="41">
    <w:name w:val="标题 1 Char"/>
    <w:link w:val="2"/>
    <w:qFormat/>
    <w:uiPriority w:val="0"/>
    <w:rPr>
      <w:rFonts w:ascii="Times New Roman" w:hAnsi="Times New Roman"/>
      <w:b/>
      <w:bCs/>
      <w:kern w:val="44"/>
      <w:sz w:val="44"/>
      <w:szCs w:val="44"/>
    </w:rPr>
  </w:style>
  <w:style w:type="character" w:customStyle="1" w:styleId="42">
    <w:name w:val="标题 2 Char"/>
    <w:link w:val="3"/>
    <w:qFormat/>
    <w:uiPriority w:val="0"/>
    <w:rPr>
      <w:rFonts w:ascii="Arial" w:hAnsi="Arial" w:eastAsia="黑体"/>
      <w:b/>
      <w:bCs/>
      <w:kern w:val="2"/>
      <w:sz w:val="32"/>
      <w:szCs w:val="32"/>
    </w:rPr>
  </w:style>
  <w:style w:type="character" w:customStyle="1" w:styleId="43">
    <w:name w:val="标题 3 Char"/>
    <w:link w:val="4"/>
    <w:qFormat/>
    <w:uiPriority w:val="0"/>
    <w:rPr>
      <w:rFonts w:ascii="Cambria" w:hAnsi="Cambria" w:eastAsia="宋体" w:cs="Times New Roman"/>
      <w:b/>
      <w:bCs/>
      <w:sz w:val="26"/>
      <w:szCs w:val="26"/>
      <w:lang w:val="en-IE"/>
    </w:rPr>
  </w:style>
  <w:style w:type="character" w:customStyle="1" w:styleId="44">
    <w:name w:val="标题 4 Char"/>
    <w:link w:val="5"/>
    <w:qFormat/>
    <w:uiPriority w:val="0"/>
    <w:rPr>
      <w:rFonts w:ascii="Calibri" w:hAnsi="Calibri" w:eastAsia="宋体" w:cs="Times New Roman"/>
      <w:b/>
      <w:bCs/>
      <w:sz w:val="28"/>
      <w:szCs w:val="28"/>
      <w:lang w:val="en-IE"/>
    </w:rPr>
  </w:style>
  <w:style w:type="character" w:customStyle="1" w:styleId="45">
    <w:name w:val="标题 5 Char"/>
    <w:link w:val="6"/>
    <w:qFormat/>
    <w:uiPriority w:val="0"/>
    <w:rPr>
      <w:rFonts w:ascii="Cambria" w:hAnsi="Cambria"/>
      <w:color w:val="243F60"/>
    </w:rPr>
  </w:style>
  <w:style w:type="character" w:customStyle="1" w:styleId="46">
    <w:name w:val="标题 6 Char"/>
    <w:link w:val="7"/>
    <w:qFormat/>
    <w:uiPriority w:val="0"/>
    <w:rPr>
      <w:rFonts w:ascii="Cambria" w:hAnsi="Cambria"/>
      <w:i/>
      <w:iCs/>
      <w:color w:val="243F60"/>
    </w:rPr>
  </w:style>
  <w:style w:type="character" w:customStyle="1" w:styleId="47">
    <w:name w:val="标题 7 Char"/>
    <w:link w:val="8"/>
    <w:qFormat/>
    <w:uiPriority w:val="0"/>
    <w:rPr>
      <w:rFonts w:ascii="Cambria" w:hAnsi="Cambria"/>
      <w:i/>
      <w:iCs/>
      <w:color w:val="404040"/>
    </w:rPr>
  </w:style>
  <w:style w:type="character" w:customStyle="1" w:styleId="48">
    <w:name w:val="标题 8 Char"/>
    <w:link w:val="9"/>
    <w:qFormat/>
    <w:uiPriority w:val="0"/>
    <w:rPr>
      <w:rFonts w:ascii="Cambria" w:hAnsi="Cambria"/>
      <w:color w:val="4F81BD"/>
    </w:rPr>
  </w:style>
  <w:style w:type="character" w:customStyle="1" w:styleId="49">
    <w:name w:val="标题 9 Char"/>
    <w:link w:val="10"/>
    <w:qFormat/>
    <w:uiPriority w:val="0"/>
    <w:rPr>
      <w:rFonts w:ascii="Cambria" w:hAnsi="Cambria"/>
      <w:i/>
      <w:iCs/>
      <w:color w:val="404040"/>
    </w:rPr>
  </w:style>
  <w:style w:type="paragraph" w:styleId="50">
    <w:name w:val="List Paragraph"/>
    <w:basedOn w:val="1"/>
    <w:qFormat/>
    <w:uiPriority w:val="34"/>
    <w:pPr>
      <w:ind w:left="720"/>
      <w:contextualSpacing/>
    </w:pPr>
  </w:style>
  <w:style w:type="character" w:customStyle="1" w:styleId="51">
    <w:name w:val="页眉 Char"/>
    <w:link w:val="23"/>
    <w:qFormat/>
    <w:uiPriority w:val="0"/>
    <w:rPr>
      <w:rFonts w:ascii="Calibri" w:hAnsi="Calibri" w:eastAsia="宋体" w:cs="Times New Roman"/>
      <w:lang w:val="en-IE"/>
    </w:rPr>
  </w:style>
  <w:style w:type="character" w:customStyle="1" w:styleId="52">
    <w:name w:val="页脚 Char"/>
    <w:link w:val="22"/>
    <w:qFormat/>
    <w:uiPriority w:val="0"/>
    <w:rPr>
      <w:rFonts w:ascii="Calibri" w:hAnsi="Calibri" w:eastAsia="宋体" w:cs="Times New Roman"/>
      <w:lang w:val="en-IE"/>
    </w:rPr>
  </w:style>
  <w:style w:type="character" w:customStyle="1" w:styleId="53">
    <w:name w:val="批注文字 Char"/>
    <w:link w:val="13"/>
    <w:qFormat/>
    <w:uiPriority w:val="99"/>
    <w:rPr>
      <w:rFonts w:ascii="Calibri" w:hAnsi="Calibri" w:eastAsia="宋体" w:cs="Times New Roman"/>
      <w:sz w:val="20"/>
      <w:szCs w:val="20"/>
      <w:lang w:val="en-IE"/>
    </w:rPr>
  </w:style>
  <w:style w:type="character" w:customStyle="1" w:styleId="54">
    <w:name w:val="批注框文本 Char"/>
    <w:link w:val="21"/>
    <w:qFormat/>
    <w:uiPriority w:val="0"/>
    <w:rPr>
      <w:rFonts w:ascii="宋体" w:hAnsi="Calibri" w:eastAsia="宋体" w:cs="Times New Roman"/>
      <w:sz w:val="18"/>
      <w:szCs w:val="18"/>
      <w:lang w:val="en-IE"/>
    </w:rPr>
  </w:style>
  <w:style w:type="character" w:customStyle="1" w:styleId="55">
    <w:name w:val="批注主题 Char"/>
    <w:link w:val="32"/>
    <w:qFormat/>
    <w:uiPriority w:val="0"/>
    <w:rPr>
      <w:rFonts w:ascii="Calibri" w:hAnsi="Calibri" w:eastAsia="宋体" w:cs="Times New Roman"/>
      <w:b/>
      <w:bCs/>
      <w:sz w:val="22"/>
      <w:szCs w:val="22"/>
      <w:lang w:val="en-IE"/>
    </w:rPr>
  </w:style>
  <w:style w:type="paragraph" w:customStyle="1" w:styleId="56">
    <w:name w:val="Revision"/>
    <w:hidden/>
    <w:qFormat/>
    <w:uiPriority w:val="99"/>
    <w:rPr>
      <w:rFonts w:ascii="Calibri" w:hAnsi="Calibri" w:eastAsia="宋体" w:cs="Times New Roman"/>
      <w:sz w:val="22"/>
      <w:szCs w:val="22"/>
      <w:lang w:val="en-IE" w:eastAsia="zh-CN" w:bidi="ar-SA"/>
    </w:rPr>
  </w:style>
  <w:style w:type="character" w:customStyle="1" w:styleId="57">
    <w:name w:val="文档结构图 Char"/>
    <w:link w:val="12"/>
    <w:semiHidden/>
    <w:qFormat/>
    <w:uiPriority w:val="0"/>
    <w:rPr>
      <w:sz w:val="22"/>
      <w:szCs w:val="22"/>
      <w:shd w:val="clear" w:color="auto" w:fill="000080"/>
      <w:lang w:val="en-IE"/>
    </w:rPr>
  </w:style>
  <w:style w:type="paragraph" w:customStyle="1" w:styleId="58">
    <w:name w:val="p0"/>
    <w:basedOn w:val="1"/>
    <w:qFormat/>
    <w:uiPriority w:val="0"/>
    <w:pPr>
      <w:spacing w:after="0" w:line="240" w:lineRule="auto"/>
      <w:jc w:val="both"/>
    </w:pPr>
    <w:rPr>
      <w:rFonts w:ascii="Times New Roman" w:hAnsi="Times New Roman"/>
      <w:sz w:val="21"/>
      <w:szCs w:val="21"/>
      <w:lang w:val="en-US"/>
    </w:rPr>
  </w:style>
  <w:style w:type="character" w:customStyle="1" w:styleId="59">
    <w:name w:val="标题 1 Char1"/>
    <w:qFormat/>
    <w:uiPriority w:val="0"/>
    <w:rPr>
      <w:b/>
      <w:bCs/>
      <w:kern w:val="44"/>
      <w:sz w:val="44"/>
      <w:szCs w:val="44"/>
    </w:rPr>
  </w:style>
  <w:style w:type="character" w:customStyle="1" w:styleId="60">
    <w:name w:val="标题 Char"/>
    <w:link w:val="31"/>
    <w:qFormat/>
    <w:uiPriority w:val="0"/>
    <w:rPr>
      <w:rFonts w:ascii="Cambria" w:hAnsi="Cambria"/>
      <w:color w:val="17365D"/>
      <w:spacing w:val="5"/>
      <w:kern w:val="28"/>
      <w:sz w:val="52"/>
      <w:szCs w:val="52"/>
    </w:rPr>
  </w:style>
  <w:style w:type="character" w:customStyle="1" w:styleId="61">
    <w:name w:val="正文文本 Char"/>
    <w:link w:val="15"/>
    <w:qFormat/>
    <w:locked/>
    <w:uiPriority w:val="0"/>
    <w:rPr>
      <w:rFonts w:ascii="宋体" w:hAnsi="宋体"/>
      <w:sz w:val="28"/>
      <w:szCs w:val="28"/>
    </w:rPr>
  </w:style>
  <w:style w:type="character" w:customStyle="1" w:styleId="62">
    <w:name w:val="正文文本 Char1"/>
    <w:semiHidden/>
    <w:qFormat/>
    <w:uiPriority w:val="0"/>
    <w:rPr>
      <w:sz w:val="22"/>
      <w:szCs w:val="22"/>
      <w:lang w:val="en-IE"/>
    </w:rPr>
  </w:style>
  <w:style w:type="character" w:customStyle="1" w:styleId="63">
    <w:name w:val="正文文本缩进 Char"/>
    <w:link w:val="16"/>
    <w:semiHidden/>
    <w:qFormat/>
    <w:locked/>
    <w:uiPriority w:val="0"/>
    <w:rPr>
      <w:szCs w:val="24"/>
    </w:rPr>
  </w:style>
  <w:style w:type="character" w:customStyle="1" w:styleId="64">
    <w:name w:val="正文文本缩进 Char1"/>
    <w:semiHidden/>
    <w:qFormat/>
    <w:uiPriority w:val="99"/>
    <w:rPr>
      <w:sz w:val="22"/>
      <w:szCs w:val="22"/>
      <w:lang w:val="en-IE"/>
    </w:rPr>
  </w:style>
  <w:style w:type="character" w:customStyle="1" w:styleId="65">
    <w:name w:val="信息标题 Char"/>
    <w:link w:val="30"/>
    <w:semiHidden/>
    <w:qFormat/>
    <w:uiPriority w:val="0"/>
    <w:rPr>
      <w:rFonts w:ascii="Arial" w:hAnsi="Arial"/>
      <w:kern w:val="2"/>
      <w:sz w:val="24"/>
      <w:szCs w:val="24"/>
      <w:shd w:val="pct20" w:color="auto" w:fill="auto"/>
    </w:rPr>
  </w:style>
  <w:style w:type="character" w:customStyle="1" w:styleId="66">
    <w:name w:val="副标题 Char"/>
    <w:link w:val="26"/>
    <w:qFormat/>
    <w:uiPriority w:val="0"/>
    <w:rPr>
      <w:rFonts w:ascii="Cambria" w:hAnsi="Cambria"/>
      <w:i/>
      <w:iCs/>
      <w:color w:val="4F81BD"/>
      <w:spacing w:val="15"/>
      <w:sz w:val="24"/>
      <w:szCs w:val="24"/>
    </w:rPr>
  </w:style>
  <w:style w:type="character" w:customStyle="1" w:styleId="67">
    <w:name w:val="日期 Char"/>
    <w:link w:val="19"/>
    <w:semiHidden/>
    <w:qFormat/>
    <w:uiPriority w:val="0"/>
    <w:rPr>
      <w:rFonts w:ascii="Times New Roman" w:hAnsi="Times New Roman"/>
      <w:kern w:val="2"/>
      <w:sz w:val="21"/>
    </w:rPr>
  </w:style>
  <w:style w:type="character" w:customStyle="1" w:styleId="68">
    <w:name w:val="正文首行缩进 Char"/>
    <w:link w:val="33"/>
    <w:semiHidden/>
    <w:qFormat/>
    <w:uiPriority w:val="0"/>
    <w:rPr>
      <w:rFonts w:ascii="Times New Roman" w:hAnsi="Times New Roman"/>
      <w:sz w:val="24"/>
      <w:szCs w:val="24"/>
      <w:lang w:val="en-IE"/>
    </w:rPr>
  </w:style>
  <w:style w:type="character" w:customStyle="1" w:styleId="69">
    <w:name w:val="正文首行缩进 2 Char"/>
    <w:link w:val="34"/>
    <w:semiHidden/>
    <w:qFormat/>
    <w:uiPriority w:val="0"/>
    <w:rPr>
      <w:rFonts w:ascii="仿宋_GB2312" w:eastAsia="仿宋_GB2312"/>
      <w:sz w:val="24"/>
      <w:szCs w:val="24"/>
      <w:lang w:val="en-IE"/>
    </w:rPr>
  </w:style>
  <w:style w:type="character" w:customStyle="1" w:styleId="70">
    <w:name w:val="正文文本 2 Char"/>
    <w:link w:val="29"/>
    <w:semiHidden/>
    <w:qFormat/>
    <w:uiPriority w:val="0"/>
    <w:rPr>
      <w:rFonts w:ascii="Times New Roman" w:hAnsi="Times New Roman"/>
      <w:sz w:val="18"/>
      <w:szCs w:val="18"/>
    </w:rPr>
  </w:style>
  <w:style w:type="character" w:customStyle="1" w:styleId="71">
    <w:name w:val="正文文本 3 Char"/>
    <w:link w:val="14"/>
    <w:semiHidden/>
    <w:qFormat/>
    <w:uiPriority w:val="0"/>
    <w:rPr>
      <w:rFonts w:ascii="Times New Roman" w:hAnsi="Times New Roman"/>
      <w:kern w:val="2"/>
      <w:sz w:val="18"/>
      <w:szCs w:val="24"/>
    </w:rPr>
  </w:style>
  <w:style w:type="character" w:customStyle="1" w:styleId="72">
    <w:name w:val="正文文本缩进 2 Char"/>
    <w:link w:val="20"/>
    <w:semiHidden/>
    <w:qFormat/>
    <w:uiPriority w:val="0"/>
    <w:rPr>
      <w:rFonts w:ascii="Times New Roman" w:hAnsi="Times New Roman"/>
      <w:kern w:val="2"/>
      <w:sz w:val="21"/>
    </w:rPr>
  </w:style>
  <w:style w:type="character" w:customStyle="1" w:styleId="73">
    <w:name w:val="正文文本缩进 3 Char"/>
    <w:link w:val="28"/>
    <w:semiHidden/>
    <w:qFormat/>
    <w:uiPriority w:val="0"/>
    <w:rPr>
      <w:rFonts w:ascii="Times New Roman" w:hAnsi="Times New Roman"/>
      <w:kern w:val="2"/>
      <w:sz w:val="16"/>
      <w:szCs w:val="16"/>
    </w:rPr>
  </w:style>
  <w:style w:type="character" w:customStyle="1" w:styleId="74">
    <w:name w:val="纯文本 Char"/>
    <w:link w:val="18"/>
    <w:qFormat/>
    <w:locked/>
    <w:uiPriority w:val="0"/>
    <w:rPr>
      <w:rFonts w:ascii="宋体" w:hAnsi="Courier New"/>
      <w:szCs w:val="21"/>
    </w:rPr>
  </w:style>
  <w:style w:type="character" w:customStyle="1" w:styleId="75">
    <w:name w:val="纯文本 Char1"/>
    <w:semiHidden/>
    <w:qFormat/>
    <w:uiPriority w:val="0"/>
    <w:rPr>
      <w:rFonts w:ascii="宋体" w:hAnsi="Courier New" w:cs="Courier New"/>
      <w:sz w:val="21"/>
      <w:szCs w:val="21"/>
      <w:lang w:val="en-IE"/>
    </w:rPr>
  </w:style>
  <w:style w:type="paragraph" w:styleId="76">
    <w:name w:val="No Spacing"/>
    <w:qFormat/>
    <w:uiPriority w:val="0"/>
    <w:rPr>
      <w:rFonts w:ascii="Calibri" w:hAnsi="Calibri" w:eastAsia="宋体" w:cs="Times New Roman"/>
      <w:sz w:val="22"/>
      <w:szCs w:val="22"/>
      <w:lang w:val="en-US" w:eastAsia="en-US" w:bidi="en-US"/>
    </w:rPr>
  </w:style>
  <w:style w:type="paragraph" w:styleId="77">
    <w:name w:val="Quote"/>
    <w:basedOn w:val="1"/>
    <w:next w:val="1"/>
    <w:link w:val="78"/>
    <w:qFormat/>
    <w:uiPriority w:val="0"/>
    <w:rPr>
      <w:i/>
      <w:iCs/>
      <w:color w:val="000000"/>
      <w:sz w:val="20"/>
      <w:szCs w:val="20"/>
    </w:rPr>
  </w:style>
  <w:style w:type="character" w:customStyle="1" w:styleId="78">
    <w:name w:val="引用 Char"/>
    <w:link w:val="77"/>
    <w:qFormat/>
    <w:uiPriority w:val="0"/>
    <w:rPr>
      <w:i/>
      <w:iCs/>
      <w:color w:val="000000"/>
    </w:rPr>
  </w:style>
  <w:style w:type="paragraph" w:styleId="79">
    <w:name w:val="Intense Quote"/>
    <w:basedOn w:val="1"/>
    <w:next w:val="1"/>
    <w:link w:val="80"/>
    <w:qFormat/>
    <w:uiPriority w:val="0"/>
    <w:pPr>
      <w:pBdr>
        <w:bottom w:val="single" w:color="4F81BD" w:sz="4" w:space="4"/>
      </w:pBdr>
      <w:spacing w:before="200" w:after="280"/>
      <w:ind w:left="936" w:right="936"/>
    </w:pPr>
    <w:rPr>
      <w:b/>
      <w:bCs/>
      <w:i/>
      <w:iCs/>
      <w:color w:val="4F81BD"/>
      <w:sz w:val="20"/>
      <w:szCs w:val="20"/>
    </w:rPr>
  </w:style>
  <w:style w:type="character" w:customStyle="1" w:styleId="80">
    <w:name w:val="明显引用 Char"/>
    <w:link w:val="79"/>
    <w:qFormat/>
    <w:uiPriority w:val="0"/>
    <w:rPr>
      <w:b/>
      <w:bCs/>
      <w:i/>
      <w:iCs/>
      <w:color w:val="4F81BD"/>
    </w:rPr>
  </w:style>
  <w:style w:type="paragraph" w:customStyle="1" w:styleId="81">
    <w:name w:val="TOC Heading"/>
    <w:basedOn w:val="2"/>
    <w:next w:val="1"/>
    <w:qFormat/>
    <w:uiPriority w:val="0"/>
    <w:pPr>
      <w:widowControl/>
      <w:spacing w:before="240" w:after="240" w:line="276" w:lineRule="auto"/>
      <w:jc w:val="left"/>
      <w:outlineLvl w:val="9"/>
    </w:pPr>
    <w:rPr>
      <w:kern w:val="0"/>
      <w:sz w:val="28"/>
      <w:szCs w:val="28"/>
    </w:rPr>
  </w:style>
  <w:style w:type="paragraph" w:customStyle="1" w:styleId="82">
    <w:name w:val="Char3 Char Char Char Char Char Char"/>
    <w:basedOn w:val="1"/>
    <w:qFormat/>
    <w:uiPriority w:val="0"/>
    <w:pPr>
      <w:widowControl w:val="0"/>
      <w:spacing w:after="0" w:line="240" w:lineRule="auto"/>
      <w:jc w:val="both"/>
    </w:pPr>
    <w:rPr>
      <w:rFonts w:ascii="宋体" w:hAnsi="宋体" w:cs="Courier New"/>
      <w:kern w:val="2"/>
      <w:sz w:val="32"/>
      <w:szCs w:val="32"/>
      <w:lang w:val="en-US"/>
    </w:rPr>
  </w:style>
  <w:style w:type="paragraph" w:customStyle="1" w:styleId="83">
    <w:name w:val="Char Char Char Char Char Char Char Char Char"/>
    <w:basedOn w:val="1"/>
    <w:qFormat/>
    <w:uiPriority w:val="0"/>
    <w:pPr>
      <w:widowControl w:val="0"/>
      <w:spacing w:after="0" w:line="240" w:lineRule="auto"/>
      <w:jc w:val="both"/>
    </w:pPr>
    <w:rPr>
      <w:rFonts w:ascii="宋体" w:hAnsi="宋体" w:cs="Courier New"/>
      <w:kern w:val="2"/>
      <w:sz w:val="32"/>
      <w:szCs w:val="32"/>
      <w:lang w:val="en-US"/>
    </w:rPr>
  </w:style>
  <w:style w:type="paragraph" w:customStyle="1" w:styleId="84">
    <w:name w:val="默认段落字体 Para Char Char Char Char"/>
    <w:basedOn w:val="1"/>
    <w:qFormat/>
    <w:uiPriority w:val="0"/>
    <w:pPr>
      <w:widowControl w:val="0"/>
      <w:spacing w:after="0" w:line="240" w:lineRule="auto"/>
      <w:jc w:val="both"/>
    </w:pPr>
    <w:rPr>
      <w:rFonts w:ascii="Times New Roman" w:hAnsi="Times New Roman"/>
      <w:kern w:val="2"/>
      <w:sz w:val="32"/>
      <w:szCs w:val="32"/>
      <w:lang w:val="en-US"/>
    </w:rPr>
  </w:style>
  <w:style w:type="paragraph" w:customStyle="1" w:styleId="85">
    <w:name w:val="Char"/>
    <w:basedOn w:val="1"/>
    <w:qFormat/>
    <w:uiPriority w:val="0"/>
    <w:pPr>
      <w:spacing w:after="160" w:line="240" w:lineRule="exact"/>
    </w:pPr>
    <w:rPr>
      <w:rFonts w:ascii="Verdana" w:hAnsi="Verdana"/>
      <w:sz w:val="20"/>
      <w:szCs w:val="20"/>
      <w:lang w:val="en-US" w:eastAsia="en-US"/>
    </w:rPr>
  </w:style>
  <w:style w:type="paragraph" w:customStyle="1" w:styleId="86">
    <w:name w:val="Char Char16 Char Char Char Char Char Char Char Char Char Char Char Char1"/>
    <w:basedOn w:val="1"/>
    <w:qFormat/>
    <w:uiPriority w:val="0"/>
    <w:pPr>
      <w:widowControl w:val="0"/>
      <w:spacing w:after="0" w:line="240" w:lineRule="auto"/>
      <w:jc w:val="both"/>
    </w:pPr>
    <w:rPr>
      <w:rFonts w:ascii="Tahoma" w:hAnsi="Tahoma" w:cs="Tahoma"/>
      <w:kern w:val="2"/>
      <w:sz w:val="24"/>
      <w:szCs w:val="24"/>
      <w:lang w:val="en-US"/>
    </w:rPr>
  </w:style>
  <w:style w:type="paragraph" w:customStyle="1" w:styleId="87">
    <w:name w:val="font5"/>
    <w:basedOn w:val="1"/>
    <w:qFormat/>
    <w:uiPriority w:val="0"/>
    <w:pPr>
      <w:spacing w:before="100" w:beforeAutospacing="1" w:after="100" w:afterAutospacing="1" w:line="240" w:lineRule="auto"/>
    </w:pPr>
    <w:rPr>
      <w:rFonts w:ascii="宋体" w:hAnsi="宋体" w:cs="宋体"/>
      <w:sz w:val="18"/>
      <w:szCs w:val="18"/>
      <w:lang w:val="en-US"/>
    </w:rPr>
  </w:style>
  <w:style w:type="paragraph" w:customStyle="1" w:styleId="88">
    <w:name w:val="font6"/>
    <w:basedOn w:val="1"/>
    <w:qFormat/>
    <w:uiPriority w:val="0"/>
    <w:pPr>
      <w:spacing w:before="100" w:beforeAutospacing="1" w:after="100" w:afterAutospacing="1" w:line="240" w:lineRule="auto"/>
    </w:pPr>
    <w:rPr>
      <w:rFonts w:ascii="仿宋_GB2312" w:hAnsi="宋体" w:eastAsia="仿宋_GB2312" w:cs="宋体"/>
      <w:sz w:val="20"/>
      <w:szCs w:val="20"/>
      <w:lang w:val="en-US"/>
    </w:rPr>
  </w:style>
  <w:style w:type="paragraph" w:customStyle="1" w:styleId="89">
    <w:name w:val="font7"/>
    <w:basedOn w:val="1"/>
    <w:qFormat/>
    <w:uiPriority w:val="0"/>
    <w:pPr>
      <w:spacing w:before="100" w:beforeAutospacing="1" w:after="100" w:afterAutospacing="1" w:line="240" w:lineRule="auto"/>
    </w:pPr>
    <w:rPr>
      <w:rFonts w:ascii="仿宋_GB2312" w:hAnsi="宋体" w:eastAsia="仿宋_GB2312" w:cs="宋体"/>
      <w:b/>
      <w:bCs/>
      <w:sz w:val="28"/>
      <w:szCs w:val="28"/>
      <w:lang w:val="en-US"/>
    </w:rPr>
  </w:style>
  <w:style w:type="paragraph" w:customStyle="1" w:styleId="90">
    <w:name w:val="font8"/>
    <w:basedOn w:val="1"/>
    <w:qFormat/>
    <w:uiPriority w:val="0"/>
    <w:pPr>
      <w:spacing w:before="100" w:beforeAutospacing="1" w:after="100" w:afterAutospacing="1" w:line="240" w:lineRule="auto"/>
    </w:pPr>
    <w:rPr>
      <w:rFonts w:ascii="Times New Roman" w:hAnsi="Times New Roman"/>
      <w:sz w:val="20"/>
      <w:szCs w:val="20"/>
      <w:lang w:val="en-US"/>
    </w:rPr>
  </w:style>
  <w:style w:type="paragraph" w:customStyle="1" w:styleId="91">
    <w:name w:val="font9"/>
    <w:basedOn w:val="1"/>
    <w:qFormat/>
    <w:uiPriority w:val="0"/>
    <w:pPr>
      <w:spacing w:before="100" w:beforeAutospacing="1" w:after="100" w:afterAutospacing="1" w:line="240" w:lineRule="auto"/>
    </w:pPr>
    <w:rPr>
      <w:rFonts w:ascii="仿宋_GB2312" w:hAnsi="宋体" w:eastAsia="仿宋_GB2312" w:cs="宋体"/>
      <w:color w:val="000000"/>
      <w:sz w:val="20"/>
      <w:szCs w:val="20"/>
      <w:lang w:val="en-US"/>
    </w:rPr>
  </w:style>
  <w:style w:type="paragraph" w:customStyle="1" w:styleId="92">
    <w:name w:val="font10"/>
    <w:basedOn w:val="1"/>
    <w:qFormat/>
    <w:uiPriority w:val="0"/>
    <w:pPr>
      <w:spacing w:before="100" w:beforeAutospacing="1" w:after="100" w:afterAutospacing="1" w:line="240" w:lineRule="auto"/>
    </w:pPr>
    <w:rPr>
      <w:rFonts w:ascii="Times New Roman" w:hAnsi="Times New Roman"/>
      <w:b/>
      <w:bCs/>
      <w:sz w:val="28"/>
      <w:szCs w:val="28"/>
      <w:lang w:val="en-US"/>
    </w:rPr>
  </w:style>
  <w:style w:type="paragraph" w:customStyle="1" w:styleId="93">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94">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color w:val="000000"/>
      <w:sz w:val="20"/>
      <w:szCs w:val="20"/>
      <w:lang w:val="en-US"/>
    </w:rPr>
  </w:style>
  <w:style w:type="paragraph" w:customStyle="1" w:styleId="95">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96">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97">
    <w:name w:val="xl71"/>
    <w:basedOn w:val="1"/>
    <w:qFormat/>
    <w:uiPriority w:val="0"/>
    <w:pPr>
      <w:spacing w:before="100" w:beforeAutospacing="1" w:after="100" w:afterAutospacing="1" w:line="240" w:lineRule="auto"/>
    </w:pPr>
    <w:rPr>
      <w:rFonts w:ascii="仿宋_GB2312" w:hAnsi="宋体" w:eastAsia="仿宋_GB2312" w:cs="宋体"/>
      <w:sz w:val="24"/>
      <w:szCs w:val="24"/>
      <w:lang w:val="en-US"/>
    </w:rPr>
  </w:style>
  <w:style w:type="paragraph" w:customStyle="1" w:styleId="98">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9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Times New Roman" w:hAnsi="Times New Roman"/>
      <w:b/>
      <w:bCs/>
      <w:sz w:val="28"/>
      <w:szCs w:val="28"/>
      <w:lang w:val="en-US"/>
    </w:rPr>
  </w:style>
  <w:style w:type="paragraph" w:customStyle="1" w:styleId="100">
    <w:name w:val="font11"/>
    <w:basedOn w:val="1"/>
    <w:qFormat/>
    <w:uiPriority w:val="0"/>
    <w:pPr>
      <w:spacing w:before="100" w:beforeAutospacing="1" w:after="100" w:afterAutospacing="1" w:line="240" w:lineRule="auto"/>
    </w:pPr>
    <w:rPr>
      <w:rFonts w:ascii="Times New Roman" w:hAnsi="Times New Roman"/>
      <w:b/>
      <w:bCs/>
      <w:color w:val="000000"/>
      <w:sz w:val="24"/>
      <w:szCs w:val="24"/>
      <w:lang w:val="en-US"/>
    </w:rPr>
  </w:style>
  <w:style w:type="paragraph" w:customStyle="1" w:styleId="101">
    <w:name w:val="font12"/>
    <w:basedOn w:val="1"/>
    <w:qFormat/>
    <w:uiPriority w:val="0"/>
    <w:pPr>
      <w:spacing w:before="100" w:beforeAutospacing="1" w:after="100" w:afterAutospacing="1" w:line="240" w:lineRule="auto"/>
    </w:pPr>
    <w:rPr>
      <w:rFonts w:ascii="宋体" w:hAnsi="宋体" w:cs="宋体"/>
      <w:sz w:val="18"/>
      <w:szCs w:val="18"/>
      <w:lang w:val="en-US"/>
    </w:rPr>
  </w:style>
  <w:style w:type="paragraph" w:customStyle="1" w:styleId="10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10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color w:val="000000"/>
      <w:sz w:val="20"/>
      <w:szCs w:val="20"/>
      <w:lang w:val="en-US"/>
    </w:rPr>
  </w:style>
  <w:style w:type="paragraph" w:customStyle="1" w:styleId="10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105">
    <w:name w:val="xl70"/>
    <w:basedOn w:val="1"/>
    <w:qFormat/>
    <w:uiPriority w:val="0"/>
    <w:pPr>
      <w:pBdr>
        <w:top w:val="single" w:color="auto" w:sz="4" w:space="0"/>
        <w:left w:val="single" w:color="auto" w:sz="4" w:space="0"/>
        <w:bottom w:val="single" w:color="auto" w:sz="4" w:space="0"/>
      </w:pBdr>
      <w:spacing w:before="100" w:beforeAutospacing="1" w:after="100" w:afterAutospacing="1" w:line="240" w:lineRule="auto"/>
    </w:pPr>
    <w:rPr>
      <w:rFonts w:ascii="Times New Roman" w:hAnsi="Times New Roman"/>
      <w:b/>
      <w:bCs/>
      <w:sz w:val="28"/>
      <w:szCs w:val="28"/>
      <w:lang w:val="en-US"/>
    </w:rPr>
  </w:style>
  <w:style w:type="paragraph" w:customStyle="1" w:styleId="106">
    <w:name w:val="xl74"/>
    <w:basedOn w:val="1"/>
    <w:qFormat/>
    <w:uiPriority w:val="0"/>
    <w:pPr>
      <w:pBdr>
        <w:left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107">
    <w:name w:val="xl75"/>
    <w:basedOn w:val="1"/>
    <w:qFormat/>
    <w:uiPriority w:val="0"/>
    <w:pPr>
      <w:pBdr>
        <w:left w:val="single" w:color="auto" w:sz="4" w:space="0"/>
        <w:bottom w:val="single" w:color="auto" w:sz="4" w:space="0"/>
        <w:right w:val="single" w:color="auto" w:sz="4" w:space="0"/>
      </w:pBdr>
      <w:spacing w:before="100" w:beforeAutospacing="1" w:after="100" w:afterAutospacing="1" w:line="240" w:lineRule="auto"/>
      <w:jc w:val="center"/>
    </w:pPr>
    <w:rPr>
      <w:rFonts w:ascii="Times New Roman" w:hAnsi="Times New Roman"/>
      <w:sz w:val="20"/>
      <w:szCs w:val="20"/>
      <w:lang w:val="en-US"/>
    </w:rPr>
  </w:style>
  <w:style w:type="paragraph" w:customStyle="1" w:styleId="108">
    <w:name w:val="xl76"/>
    <w:basedOn w:val="1"/>
    <w:qFormat/>
    <w:uiPriority w:val="0"/>
    <w:pPr>
      <w:pBdr>
        <w:top w:val="single" w:color="auto" w:sz="4" w:space="0"/>
        <w:left w:val="single" w:color="auto" w:sz="4" w:space="0"/>
        <w:right w:val="single" w:color="auto" w:sz="4" w:space="0"/>
      </w:pBdr>
      <w:spacing w:before="100" w:beforeAutospacing="1" w:after="100" w:afterAutospacing="1" w:line="240" w:lineRule="auto"/>
      <w:jc w:val="center"/>
    </w:pPr>
    <w:rPr>
      <w:rFonts w:ascii="仿宋_GB2312" w:hAnsi="宋体" w:eastAsia="仿宋_GB2312" w:cs="宋体"/>
      <w:color w:val="000000"/>
      <w:sz w:val="20"/>
      <w:szCs w:val="20"/>
      <w:lang w:val="en-US"/>
    </w:rPr>
  </w:style>
  <w:style w:type="character" w:customStyle="1" w:styleId="109">
    <w:name w:val="标书正文格式 Char Char Char"/>
    <w:link w:val="110"/>
    <w:qFormat/>
    <w:locked/>
    <w:uiPriority w:val="0"/>
    <w:rPr>
      <w:rFonts w:ascii="楷体_GB2312" w:eastAsia="楷体_GB2312"/>
      <w:kern w:val="2"/>
      <w:sz w:val="24"/>
      <w:szCs w:val="22"/>
      <w:lang w:val="en-US" w:eastAsia="zh-CN" w:bidi="ar-SA"/>
    </w:rPr>
  </w:style>
  <w:style w:type="paragraph" w:customStyle="1" w:styleId="110">
    <w:name w:val="标书正文格式 Char Char"/>
    <w:link w:val="109"/>
    <w:qFormat/>
    <w:uiPriority w:val="0"/>
    <w:pPr>
      <w:spacing w:line="360" w:lineRule="auto"/>
      <w:ind w:firstLine="200" w:firstLineChars="200"/>
    </w:pPr>
    <w:rPr>
      <w:rFonts w:ascii="楷体_GB2312" w:hAnsi="Calibri" w:eastAsia="楷体_GB2312" w:cs="Times New Roman"/>
      <w:kern w:val="2"/>
      <w:sz w:val="24"/>
      <w:szCs w:val="22"/>
      <w:lang w:val="en-US" w:eastAsia="zh-CN" w:bidi="ar-SA"/>
    </w:rPr>
  </w:style>
  <w:style w:type="character" w:customStyle="1" w:styleId="111">
    <w:name w:val="段 Char"/>
    <w:link w:val="112"/>
    <w:qFormat/>
    <w:locked/>
    <w:uiPriority w:val="0"/>
    <w:rPr>
      <w:rFonts w:ascii="Arial" w:hAnsi="Arial" w:cs="Arial"/>
      <w:spacing w:val="20"/>
      <w:sz w:val="24"/>
    </w:rPr>
  </w:style>
  <w:style w:type="paragraph" w:customStyle="1" w:styleId="112">
    <w:name w:val="段"/>
    <w:basedOn w:val="1"/>
    <w:link w:val="111"/>
    <w:qFormat/>
    <w:uiPriority w:val="0"/>
    <w:pPr>
      <w:widowControl w:val="0"/>
      <w:spacing w:after="120" w:line="360" w:lineRule="auto"/>
      <w:ind w:firstLine="480" w:firstLineChars="200"/>
      <w:jc w:val="both"/>
    </w:pPr>
    <w:rPr>
      <w:rFonts w:ascii="Arial" w:hAnsi="Arial"/>
      <w:spacing w:val="20"/>
      <w:sz w:val="24"/>
      <w:szCs w:val="20"/>
    </w:rPr>
  </w:style>
  <w:style w:type="character" w:customStyle="1" w:styleId="113">
    <w:name w:val="样式 段 + 黑色 Char"/>
    <w:link w:val="114"/>
    <w:qFormat/>
    <w:locked/>
    <w:uiPriority w:val="0"/>
    <w:rPr>
      <w:rFonts w:ascii="Arial" w:hAnsi="Arial" w:cs="Arial"/>
      <w:color w:val="000000"/>
      <w:spacing w:val="20"/>
      <w:sz w:val="24"/>
    </w:rPr>
  </w:style>
  <w:style w:type="paragraph" w:customStyle="1" w:styleId="114">
    <w:name w:val="样式 段 + 黑色"/>
    <w:basedOn w:val="112"/>
    <w:link w:val="113"/>
    <w:qFormat/>
    <w:uiPriority w:val="0"/>
    <w:pPr>
      <w:spacing w:after="0"/>
      <w:ind w:firstLine="200"/>
    </w:pPr>
    <w:rPr>
      <w:color w:val="000000"/>
    </w:rPr>
  </w:style>
  <w:style w:type="paragraph" w:customStyle="1" w:styleId="115">
    <w:name w:val="样式 段 + 首行缩进:  2 字符"/>
    <w:basedOn w:val="112"/>
    <w:qFormat/>
    <w:uiPriority w:val="0"/>
    <w:pPr>
      <w:spacing w:after="0"/>
      <w:ind w:firstLine="560"/>
    </w:pPr>
    <w:rPr>
      <w:rFonts w:cs="宋体"/>
    </w:rPr>
  </w:style>
  <w:style w:type="character" w:customStyle="1" w:styleId="116">
    <w:name w:val="科东_正文 Char"/>
    <w:link w:val="117"/>
    <w:qFormat/>
    <w:locked/>
    <w:uiPriority w:val="0"/>
    <w:rPr>
      <w:sz w:val="24"/>
      <w:szCs w:val="24"/>
    </w:rPr>
  </w:style>
  <w:style w:type="paragraph" w:customStyle="1" w:styleId="117">
    <w:name w:val="科东_正文"/>
    <w:basedOn w:val="1"/>
    <w:link w:val="116"/>
    <w:qFormat/>
    <w:uiPriority w:val="0"/>
    <w:pPr>
      <w:widowControl w:val="0"/>
      <w:spacing w:after="0" w:line="360" w:lineRule="auto"/>
      <w:ind w:firstLine="200" w:firstLineChars="200"/>
      <w:jc w:val="both"/>
    </w:pPr>
    <w:rPr>
      <w:sz w:val="24"/>
      <w:szCs w:val="24"/>
    </w:rPr>
  </w:style>
  <w:style w:type="character" w:customStyle="1" w:styleId="118">
    <w:name w:val="文字 Char"/>
    <w:link w:val="119"/>
    <w:qFormat/>
    <w:locked/>
    <w:uiPriority w:val="0"/>
    <w:rPr>
      <w:rFonts w:ascii="宋体" w:hAnsi="宋体"/>
      <w:sz w:val="28"/>
    </w:rPr>
  </w:style>
  <w:style w:type="paragraph" w:customStyle="1" w:styleId="119">
    <w:name w:val="文字"/>
    <w:basedOn w:val="1"/>
    <w:link w:val="118"/>
    <w:qFormat/>
    <w:uiPriority w:val="0"/>
    <w:pPr>
      <w:widowControl w:val="0"/>
      <w:tabs>
        <w:tab w:val="left" w:pos="8520"/>
      </w:tabs>
      <w:spacing w:after="0" w:line="312" w:lineRule="auto"/>
      <w:ind w:right="-210" w:firstLine="556"/>
      <w:jc w:val="both"/>
    </w:pPr>
    <w:rPr>
      <w:rFonts w:ascii="宋体" w:hAnsi="宋体"/>
      <w:sz w:val="28"/>
      <w:szCs w:val="20"/>
    </w:rPr>
  </w:style>
  <w:style w:type="character" w:customStyle="1" w:styleId="120">
    <w:name w:val="bb Char"/>
    <w:link w:val="121"/>
    <w:qFormat/>
    <w:locked/>
    <w:uiPriority w:val="0"/>
    <w:rPr>
      <w:rFonts w:ascii="宋体" w:hAnsi="宋体"/>
      <w:b/>
      <w:color w:val="000000"/>
      <w:szCs w:val="21"/>
    </w:rPr>
  </w:style>
  <w:style w:type="paragraph" w:customStyle="1" w:styleId="121">
    <w:name w:val="bb"/>
    <w:basedOn w:val="4"/>
    <w:link w:val="120"/>
    <w:qFormat/>
    <w:uiPriority w:val="0"/>
    <w:pPr>
      <w:keepLines/>
      <w:widowControl w:val="0"/>
      <w:spacing w:before="260" w:after="260" w:line="240" w:lineRule="auto"/>
      <w:jc w:val="both"/>
    </w:pPr>
    <w:rPr>
      <w:rFonts w:ascii="宋体" w:hAnsi="宋体"/>
      <w:bCs w:val="0"/>
      <w:color w:val="000000"/>
      <w:sz w:val="20"/>
      <w:szCs w:val="21"/>
    </w:rPr>
  </w:style>
  <w:style w:type="character" w:customStyle="1" w:styleId="122">
    <w:name w:val="文字 Char Char Char Char"/>
    <w:link w:val="123"/>
    <w:qFormat/>
    <w:locked/>
    <w:uiPriority w:val="0"/>
    <w:rPr>
      <w:rFonts w:ascii="宋体" w:hAnsi="宋体"/>
      <w:sz w:val="28"/>
    </w:rPr>
  </w:style>
  <w:style w:type="paragraph" w:customStyle="1" w:styleId="123">
    <w:name w:val="文字 Char Char Char"/>
    <w:basedOn w:val="1"/>
    <w:link w:val="122"/>
    <w:qFormat/>
    <w:uiPriority w:val="0"/>
    <w:pPr>
      <w:widowControl w:val="0"/>
      <w:tabs>
        <w:tab w:val="left" w:pos="8520"/>
      </w:tabs>
      <w:spacing w:after="0" w:line="312" w:lineRule="auto"/>
      <w:ind w:right="-210" w:firstLine="556"/>
      <w:jc w:val="both"/>
    </w:pPr>
    <w:rPr>
      <w:rFonts w:ascii="宋体" w:hAnsi="宋体"/>
      <w:sz w:val="28"/>
      <w:szCs w:val="20"/>
    </w:rPr>
  </w:style>
  <w:style w:type="character" w:customStyle="1" w:styleId="124">
    <w:name w:val="aaa Char"/>
    <w:link w:val="125"/>
    <w:qFormat/>
    <w:locked/>
    <w:uiPriority w:val="0"/>
    <w:rPr>
      <w:sz w:val="28"/>
      <w:szCs w:val="84"/>
    </w:rPr>
  </w:style>
  <w:style w:type="paragraph" w:customStyle="1" w:styleId="125">
    <w:name w:val="aaa"/>
    <w:basedOn w:val="1"/>
    <w:link w:val="124"/>
    <w:qFormat/>
    <w:uiPriority w:val="0"/>
    <w:pPr>
      <w:widowControl w:val="0"/>
      <w:spacing w:after="0" w:line="360" w:lineRule="auto"/>
      <w:jc w:val="both"/>
    </w:pPr>
    <w:rPr>
      <w:sz w:val="28"/>
      <w:szCs w:val="84"/>
    </w:rPr>
  </w:style>
  <w:style w:type="paragraph" w:customStyle="1" w:styleId="126">
    <w:name w:val="样式 行距: 1.5 倍行距"/>
    <w:basedOn w:val="1"/>
    <w:qFormat/>
    <w:uiPriority w:val="0"/>
    <w:pPr>
      <w:widowControl w:val="0"/>
      <w:spacing w:after="0" w:line="360" w:lineRule="auto"/>
      <w:ind w:firstLine="480" w:firstLineChars="200"/>
    </w:pPr>
    <w:rPr>
      <w:rFonts w:ascii="宋体" w:hAnsi="宋体" w:cs="宋体"/>
      <w:sz w:val="24"/>
      <w:szCs w:val="20"/>
      <w:lang w:val="en-US"/>
    </w:rPr>
  </w:style>
  <w:style w:type="paragraph" w:customStyle="1" w:styleId="127">
    <w:name w:val="Char1 Char Char Char Char Char1 Char Char Char Char"/>
    <w:basedOn w:val="1"/>
    <w:qFormat/>
    <w:uiPriority w:val="0"/>
    <w:pPr>
      <w:widowControl w:val="0"/>
      <w:spacing w:after="0" w:line="240" w:lineRule="auto"/>
      <w:jc w:val="both"/>
    </w:pPr>
    <w:rPr>
      <w:rFonts w:ascii="Times New Roman" w:hAnsi="Times New Roman"/>
      <w:kern w:val="2"/>
      <w:sz w:val="21"/>
      <w:szCs w:val="24"/>
      <w:lang w:val="en-US"/>
    </w:rPr>
  </w:style>
  <w:style w:type="paragraph" w:customStyle="1" w:styleId="128">
    <w:name w:val="样式1"/>
    <w:basedOn w:val="5"/>
    <w:next w:val="1"/>
    <w:qFormat/>
    <w:uiPriority w:val="0"/>
    <w:pPr>
      <w:keepLines/>
      <w:widowControl w:val="0"/>
      <w:spacing w:beforeLines="50" w:afterLines="50" w:line="360" w:lineRule="auto"/>
      <w:jc w:val="both"/>
    </w:pPr>
    <w:rPr>
      <w:rFonts w:ascii="Arial" w:hAnsi="Arial" w:eastAsia="黑体"/>
      <w:b w:val="0"/>
      <w:bCs w:val="0"/>
      <w:kern w:val="2"/>
      <w:sz w:val="24"/>
      <w:lang w:val="en-US"/>
    </w:rPr>
  </w:style>
  <w:style w:type="paragraph" w:customStyle="1" w:styleId="129">
    <w:name w:val="样式5"/>
    <w:basedOn w:val="1"/>
    <w:qFormat/>
    <w:uiPriority w:val="0"/>
    <w:pPr>
      <w:autoSpaceDE w:val="0"/>
      <w:autoSpaceDN w:val="0"/>
      <w:adjustRightInd w:val="0"/>
      <w:spacing w:before="120" w:after="120" w:line="240" w:lineRule="atLeast"/>
    </w:pPr>
    <w:rPr>
      <w:rFonts w:ascii="宋体" w:hAnsi="Times New Roman"/>
      <w:spacing w:val="14"/>
      <w:sz w:val="20"/>
      <w:szCs w:val="20"/>
      <w:lang w:val="en-US"/>
    </w:rPr>
  </w:style>
  <w:style w:type="paragraph" w:customStyle="1" w:styleId="130">
    <w:name w:val="Char Char Char"/>
    <w:basedOn w:val="1"/>
    <w:qFormat/>
    <w:uiPriority w:val="0"/>
    <w:pPr>
      <w:widowControl w:val="0"/>
      <w:spacing w:after="0" w:line="240" w:lineRule="auto"/>
      <w:jc w:val="both"/>
    </w:pPr>
    <w:rPr>
      <w:rFonts w:ascii="Times New Roman" w:hAnsi="Times New Roman"/>
      <w:kern w:val="2"/>
      <w:sz w:val="24"/>
      <w:szCs w:val="24"/>
      <w:lang w:val="en-US"/>
    </w:rPr>
  </w:style>
  <w:style w:type="paragraph" w:customStyle="1" w:styleId="131">
    <w:name w:val="样式3"/>
    <w:basedOn w:val="1"/>
    <w:qFormat/>
    <w:uiPriority w:val="0"/>
    <w:pPr>
      <w:autoSpaceDE w:val="0"/>
      <w:autoSpaceDN w:val="0"/>
      <w:adjustRightInd w:val="0"/>
      <w:spacing w:before="120" w:after="120" w:line="260" w:lineRule="exact"/>
    </w:pPr>
    <w:rPr>
      <w:rFonts w:ascii="宋体" w:hAnsi="Times New Roman"/>
      <w:spacing w:val="12"/>
      <w:sz w:val="20"/>
      <w:szCs w:val="20"/>
      <w:lang w:val="en-US"/>
    </w:rPr>
  </w:style>
  <w:style w:type="paragraph" w:customStyle="1" w:styleId="132">
    <w:name w:val="标准"/>
    <w:basedOn w:val="1"/>
    <w:qFormat/>
    <w:uiPriority w:val="0"/>
    <w:pPr>
      <w:widowControl w:val="0"/>
      <w:adjustRightInd w:val="0"/>
      <w:spacing w:after="0" w:line="312" w:lineRule="atLeast"/>
      <w:jc w:val="center"/>
    </w:pPr>
    <w:rPr>
      <w:rFonts w:ascii="Times New Roman" w:hAnsi="Times New Roman"/>
      <w:sz w:val="21"/>
      <w:szCs w:val="21"/>
      <w:lang w:val="en-US"/>
    </w:rPr>
  </w:style>
  <w:style w:type="character" w:customStyle="1" w:styleId="133">
    <w:name w:val="Subtle Emphasis"/>
    <w:qFormat/>
    <w:uiPriority w:val="0"/>
    <w:rPr>
      <w:i/>
      <w:iCs/>
      <w:color w:val="808080"/>
    </w:rPr>
  </w:style>
  <w:style w:type="character" w:customStyle="1" w:styleId="134">
    <w:name w:val="Intense Emphasis"/>
    <w:qFormat/>
    <w:uiPriority w:val="0"/>
    <w:rPr>
      <w:b/>
      <w:bCs/>
      <w:i/>
      <w:iCs/>
      <w:color w:val="4F81BD"/>
    </w:rPr>
  </w:style>
  <w:style w:type="character" w:customStyle="1" w:styleId="135">
    <w:name w:val="Subtle Reference"/>
    <w:qFormat/>
    <w:uiPriority w:val="0"/>
    <w:rPr>
      <w:smallCaps/>
      <w:color w:val="C0504D"/>
      <w:u w:val="single"/>
    </w:rPr>
  </w:style>
  <w:style w:type="character" w:customStyle="1" w:styleId="136">
    <w:name w:val="Intense Reference"/>
    <w:qFormat/>
    <w:uiPriority w:val="0"/>
    <w:rPr>
      <w:b/>
      <w:bCs/>
      <w:smallCaps/>
      <w:color w:val="C0504D"/>
      <w:spacing w:val="5"/>
      <w:u w:val="single"/>
    </w:rPr>
  </w:style>
  <w:style w:type="character" w:customStyle="1" w:styleId="137">
    <w:name w:val="Book Title"/>
    <w:qFormat/>
    <w:uiPriority w:val="0"/>
    <w:rPr>
      <w:b/>
      <w:bCs/>
      <w:smallCaps/>
      <w:spacing w:val="5"/>
    </w:rPr>
  </w:style>
  <w:style w:type="character" w:customStyle="1" w:styleId="138">
    <w:name w:val="Char Char17"/>
    <w:uiPriority w:val="0"/>
    <w:rPr>
      <w:rFonts w:hint="default" w:ascii="Times New Roman" w:hAnsi="Times New Roman" w:eastAsia="宋体" w:cs="Times New Roman"/>
      <w:b/>
      <w:bCs/>
      <w:sz w:val="24"/>
      <w:szCs w:val="26"/>
    </w:rPr>
  </w:style>
  <w:style w:type="character" w:customStyle="1" w:styleId="139">
    <w:name w:val="Char Char16"/>
    <w:uiPriority w:val="0"/>
    <w:rPr>
      <w:rFonts w:hint="default" w:ascii="Cambria" w:hAnsi="Cambria" w:eastAsia="宋体" w:cs="Times New Roman"/>
      <w:b/>
      <w:bCs/>
      <w:color w:val="000000"/>
    </w:rPr>
  </w:style>
  <w:style w:type="character" w:customStyle="1" w:styleId="140">
    <w:name w:val="Char Char15"/>
    <w:uiPriority w:val="0"/>
    <w:rPr>
      <w:rFonts w:hint="default" w:ascii="Cambria" w:hAnsi="Cambria" w:eastAsia="宋体" w:cs="Times New Roman"/>
      <w:b/>
      <w:bCs/>
      <w:i/>
      <w:iCs/>
      <w:color w:val="4F81BD"/>
    </w:rPr>
  </w:style>
  <w:style w:type="character" w:customStyle="1" w:styleId="141">
    <w:name w:val="red12"/>
    <w:basedOn w:val="37"/>
    <w:uiPriority w:val="0"/>
  </w:style>
  <w:style w:type="character" w:customStyle="1" w:styleId="142">
    <w:name w:val="z-窗体顶端 Char"/>
    <w:link w:val="143"/>
    <w:semiHidden/>
    <w:uiPriority w:val="0"/>
    <w:rPr>
      <w:rFonts w:ascii="Arial" w:hAnsi="Arial" w:cs="Arial"/>
      <w:vanish/>
      <w:kern w:val="2"/>
      <w:sz w:val="16"/>
      <w:szCs w:val="16"/>
    </w:rPr>
  </w:style>
  <w:style w:type="paragraph" w:customStyle="1" w:styleId="143">
    <w:name w:val="HTML Top of Form"/>
    <w:basedOn w:val="1"/>
    <w:next w:val="1"/>
    <w:link w:val="142"/>
    <w:semiHidden/>
    <w:unhideWhenUsed/>
    <w:uiPriority w:val="0"/>
    <w:pPr>
      <w:widowControl w:val="0"/>
      <w:pBdr>
        <w:bottom w:val="single" w:color="auto" w:sz="6" w:space="1"/>
      </w:pBdr>
      <w:spacing w:after="0" w:line="240" w:lineRule="auto"/>
      <w:jc w:val="center"/>
    </w:pPr>
    <w:rPr>
      <w:rFonts w:ascii="Arial" w:hAnsi="Arial"/>
      <w:vanish/>
      <w:kern w:val="2"/>
      <w:sz w:val="16"/>
      <w:szCs w:val="16"/>
    </w:rPr>
  </w:style>
  <w:style w:type="character" w:customStyle="1" w:styleId="144">
    <w:name w:val="z-窗体底端 Char"/>
    <w:link w:val="145"/>
    <w:semiHidden/>
    <w:uiPriority w:val="0"/>
    <w:rPr>
      <w:rFonts w:ascii="Arial" w:hAnsi="Arial" w:cs="Arial"/>
      <w:vanish/>
      <w:kern w:val="2"/>
      <w:sz w:val="16"/>
      <w:szCs w:val="16"/>
    </w:rPr>
  </w:style>
  <w:style w:type="paragraph" w:customStyle="1" w:styleId="145">
    <w:name w:val="HTML Bottom of Form"/>
    <w:basedOn w:val="1"/>
    <w:next w:val="1"/>
    <w:link w:val="144"/>
    <w:semiHidden/>
    <w:unhideWhenUsed/>
    <w:uiPriority w:val="0"/>
    <w:pPr>
      <w:widowControl w:val="0"/>
      <w:pBdr>
        <w:top w:val="single" w:color="auto" w:sz="6" w:space="1"/>
      </w:pBdr>
      <w:spacing w:after="0" w:line="240" w:lineRule="auto"/>
      <w:jc w:val="center"/>
    </w:pPr>
    <w:rPr>
      <w:rFonts w:ascii="Arial" w:hAnsi="Arial"/>
      <w:vanish/>
      <w:kern w:val="2"/>
      <w:sz w:val="16"/>
      <w:szCs w:val="16"/>
    </w:rPr>
  </w:style>
  <w:style w:type="paragraph" w:customStyle="1" w:styleId="146">
    <w:name w:val="列表 a）"/>
    <w:basedOn w:val="112"/>
    <w:uiPriority w:val="0"/>
    <w:pPr>
      <w:tabs>
        <w:tab w:val="left" w:pos="360"/>
        <w:tab w:val="left" w:pos="420"/>
      </w:tabs>
      <w:spacing w:line="240" w:lineRule="auto"/>
      <w:ind w:left="420" w:hanging="420" w:firstLineChars="0"/>
    </w:pPr>
    <w:rPr>
      <w:rFonts w:ascii="Times New Roman" w:hAnsi="Times New Roman"/>
      <w:sz w:val="18"/>
    </w:rPr>
  </w:style>
  <w:style w:type="paragraph" w:customStyle="1" w:styleId="147">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8">
    <w:name w:val="p16"/>
    <w:basedOn w:val="1"/>
    <w:uiPriority w:val="0"/>
    <w:pPr>
      <w:spacing w:before="156" w:after="0" w:line="240" w:lineRule="auto"/>
      <w:jc w:val="both"/>
    </w:pPr>
    <w:rPr>
      <w:rFonts w:cs="宋体"/>
      <w:sz w:val="21"/>
      <w:szCs w:val="21"/>
      <w:lang w:val="en-US"/>
    </w:rPr>
  </w:style>
  <w:style w:type="paragraph" w:customStyle="1" w:styleId="149">
    <w:name w:val="p17"/>
    <w:basedOn w:val="1"/>
    <w:uiPriority w:val="0"/>
    <w:pPr>
      <w:spacing w:before="240" w:after="0" w:line="240" w:lineRule="auto"/>
      <w:ind w:left="851" w:right="850" w:hanging="851"/>
      <w:jc w:val="both"/>
    </w:pPr>
    <w:rPr>
      <w:rFonts w:ascii="Arial" w:hAnsi="Arial" w:cs="Arial"/>
      <w:caps/>
      <w:lang w:val="en-US"/>
    </w:rPr>
  </w:style>
  <w:style w:type="paragraph" w:customStyle="1" w:styleId="150">
    <w:name w:val="p20"/>
    <w:basedOn w:val="1"/>
    <w:uiPriority w:val="0"/>
    <w:pPr>
      <w:spacing w:line="273" w:lineRule="auto"/>
      <w:ind w:left="720"/>
    </w:pPr>
    <w:rPr>
      <w:rFonts w:cs="宋体"/>
      <w:lang w:val="en-US"/>
    </w:rPr>
  </w:style>
  <w:style w:type="character" w:customStyle="1" w:styleId="151">
    <w:name w:val="脚注文本 Char"/>
    <w:basedOn w:val="37"/>
    <w:link w:val="27"/>
    <w:uiPriority w:val="0"/>
    <w:rPr>
      <w:kern w:val="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chart" Target="charts/chart10.xml"/><Relationship Id="rId30" Type="http://schemas.openxmlformats.org/officeDocument/2006/relationships/chart" Target="charts/chart9.xml"/><Relationship Id="rId3" Type="http://schemas.openxmlformats.org/officeDocument/2006/relationships/footnotes" Target="footnotes.xml"/><Relationship Id="rId29" Type="http://schemas.openxmlformats.org/officeDocument/2006/relationships/chart" Target="charts/chart8.xml"/><Relationship Id="rId28" Type="http://schemas.openxmlformats.org/officeDocument/2006/relationships/chart" Target="charts/chart7.xml"/><Relationship Id="rId27" Type="http://schemas.openxmlformats.org/officeDocument/2006/relationships/chart" Target="charts/chart6.xml"/><Relationship Id="rId26" Type="http://schemas.openxmlformats.org/officeDocument/2006/relationships/chart" Target="charts/chart5.xml"/><Relationship Id="rId25" Type="http://schemas.openxmlformats.org/officeDocument/2006/relationships/chart" Target="charts/chart4.xml"/><Relationship Id="rId24" Type="http://schemas.openxmlformats.org/officeDocument/2006/relationships/chart" Target="charts/chart3.xml"/><Relationship Id="rId23" Type="http://schemas.openxmlformats.org/officeDocument/2006/relationships/chart" Target="charts/chart2.xml"/><Relationship Id="rId22" Type="http://schemas.openxmlformats.org/officeDocument/2006/relationships/chart" Target="charts/chart1.xml"/><Relationship Id="rId21" Type="http://schemas.openxmlformats.org/officeDocument/2006/relationships/image" Target="media/image2.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1.wmf"/><Relationship Id="rId18" Type="http://schemas.openxmlformats.org/officeDocument/2006/relationships/oleObject" Target="embeddings/oleObject1.bin"/><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admin\Desktop\&#26032;&#24314;%20XLS%20&#24037;&#20316;&#349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500</c:v>
                </c:pt>
                <c:pt idx="1">
                  <c:v>3000</c:v>
                </c:pt>
                <c:pt idx="2">
                  <c:v>3500</c:v>
                </c:pt>
                <c:pt idx="3">
                  <c:v>4500</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14297</c:v>
                </c:pt>
                <c:pt idx="1">
                  <c:v>13643</c:v>
                </c:pt>
                <c:pt idx="2">
                  <c:v>13500</c:v>
                </c:pt>
                <c:pt idx="3">
                  <c:v>13600</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14797</c:v>
                </c:pt>
                <c:pt idx="1">
                  <c:v>16643</c:v>
                </c:pt>
                <c:pt idx="2">
                  <c:v>17000</c:v>
                </c:pt>
                <c:pt idx="3">
                  <c:v>18100</c:v>
                </c:pt>
              </c:numCache>
            </c:numRef>
          </c:val>
          <c:smooth val="0"/>
        </c:ser>
        <c:dLbls>
          <c:showLegendKey val="0"/>
          <c:showVal val="0"/>
          <c:showCatName val="0"/>
          <c:showSerName val="0"/>
          <c:showPercent val="0"/>
          <c:showBubbleSize val="0"/>
        </c:dLbls>
        <c:marker val="0"/>
        <c:smooth val="0"/>
        <c:axId val="716362000"/>
        <c:axId val="716362392"/>
      </c:lineChart>
      <c:catAx>
        <c:axId val="716362000"/>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16362392"/>
        <c:crosses val="autoZero"/>
        <c:auto val="1"/>
        <c:lblAlgn val="ctr"/>
        <c:lblOffset val="100"/>
        <c:noMultiLvlLbl val="0"/>
      </c:catAx>
      <c:valAx>
        <c:axId val="716362392"/>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1636200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3442.68</c:v>
                </c:pt>
                <c:pt idx="1">
                  <c:v>3522.33</c:v>
                </c:pt>
                <c:pt idx="2">
                  <c:v>3657.33</c:v>
                </c:pt>
                <c:pt idx="3">
                  <c:v>4306.14</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3824.26</c:v>
                </c:pt>
                <c:pt idx="1">
                  <c:v>4114.26</c:v>
                </c:pt>
                <c:pt idx="2">
                  <c:v>4404.26</c:v>
                </c:pt>
                <c:pt idx="3">
                  <c:v>5567.87</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7266.93</c:v>
                </c:pt>
                <c:pt idx="1">
                  <c:v>7636.58</c:v>
                </c:pt>
                <c:pt idx="2">
                  <c:v>8061.58</c:v>
                </c:pt>
                <c:pt idx="3">
                  <c:v>9874.01</c:v>
                </c:pt>
              </c:numCache>
            </c:numRef>
          </c:val>
          <c:smooth val="0"/>
        </c:ser>
        <c:dLbls>
          <c:showLegendKey val="0"/>
          <c:showVal val="0"/>
          <c:showCatName val="0"/>
          <c:showSerName val="0"/>
          <c:showPercent val="0"/>
          <c:showBubbleSize val="0"/>
        </c:dLbls>
        <c:marker val="0"/>
        <c:smooth val="0"/>
        <c:axId val="703486216"/>
        <c:axId val="703486608"/>
      </c:lineChart>
      <c:catAx>
        <c:axId val="703486216"/>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03486608"/>
        <c:crosses val="autoZero"/>
        <c:auto val="1"/>
        <c:lblAlgn val="ctr"/>
        <c:lblOffset val="100"/>
        <c:noMultiLvlLbl val="0"/>
      </c:catAx>
      <c:valAx>
        <c:axId val="703486608"/>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0348621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229417.49</c:v>
                </c:pt>
                <c:pt idx="1">
                  <c:v>234417.49</c:v>
                </c:pt>
                <c:pt idx="2">
                  <c:v>244417.49</c:v>
                </c:pt>
                <c:pt idx="3">
                  <c:v>310424.18</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29003.31</c:v>
                </c:pt>
                <c:pt idx="1">
                  <c:v>30203.31</c:v>
                </c:pt>
                <c:pt idx="2">
                  <c:v>31003.31</c:v>
                </c:pt>
                <c:pt idx="3">
                  <c:v>36779.13</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0.00_ </c:formatCode>
                <c:ptCount val="4"/>
                <c:pt idx="0">
                  <c:v>258420.8</c:v>
                </c:pt>
                <c:pt idx="1">
                  <c:v>264620.8</c:v>
                </c:pt>
                <c:pt idx="2">
                  <c:v>275420.8</c:v>
                </c:pt>
                <c:pt idx="3" c:formatCode="General">
                  <c:v>347203.31</c:v>
                </c:pt>
              </c:numCache>
            </c:numRef>
          </c:val>
          <c:smooth val="0"/>
        </c:ser>
        <c:dLbls>
          <c:showLegendKey val="0"/>
          <c:showVal val="0"/>
          <c:showCatName val="0"/>
          <c:showSerName val="0"/>
          <c:showPercent val="0"/>
          <c:showBubbleSize val="0"/>
        </c:dLbls>
        <c:marker val="0"/>
        <c:smooth val="0"/>
        <c:axId val="716363176"/>
        <c:axId val="716363568"/>
      </c:lineChart>
      <c:catAx>
        <c:axId val="716363176"/>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16363568"/>
        <c:crosses val="autoZero"/>
        <c:auto val="1"/>
        <c:lblAlgn val="ctr"/>
        <c:lblOffset val="100"/>
        <c:noMultiLvlLbl val="0"/>
      </c:catAx>
      <c:valAx>
        <c:axId val="716363568"/>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163631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1571714.26</c:v>
                </c:pt>
                <c:pt idx="1">
                  <c:v>1619714.26</c:v>
                </c:pt>
                <c:pt idx="2">
                  <c:v>2557554.58</c:v>
                </c:pt>
                <c:pt idx="3">
                  <c:v>2799714.26</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2688.38</c:v>
                </c:pt>
                <c:pt idx="1">
                  <c:v>2988.38</c:v>
                </c:pt>
                <c:pt idx="2">
                  <c:v>3388.38</c:v>
                </c:pt>
                <c:pt idx="3">
                  <c:v>3888.38</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1574402.64</c:v>
                </c:pt>
                <c:pt idx="1">
                  <c:v>1622702.64</c:v>
                </c:pt>
                <c:pt idx="2">
                  <c:v>2560942.96</c:v>
                </c:pt>
                <c:pt idx="3">
                  <c:v>2803602.64</c:v>
                </c:pt>
              </c:numCache>
            </c:numRef>
          </c:val>
          <c:smooth val="0"/>
        </c:ser>
        <c:dLbls>
          <c:showLegendKey val="0"/>
          <c:showVal val="0"/>
          <c:showCatName val="0"/>
          <c:showSerName val="0"/>
          <c:showPercent val="0"/>
          <c:showBubbleSize val="0"/>
        </c:dLbls>
        <c:marker val="0"/>
        <c:smooth val="0"/>
        <c:axId val="242766608"/>
        <c:axId val="242767000"/>
      </c:lineChart>
      <c:catAx>
        <c:axId val="242766608"/>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242767000"/>
        <c:crosses val="autoZero"/>
        <c:auto val="1"/>
        <c:lblAlgn val="ctr"/>
        <c:lblOffset val="100"/>
        <c:noMultiLvlLbl val="0"/>
      </c:catAx>
      <c:valAx>
        <c:axId val="242767000"/>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2427666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1000</c:v>
                </c:pt>
                <c:pt idx="1">
                  <c:v>3000</c:v>
                </c:pt>
                <c:pt idx="2">
                  <c:v>3500</c:v>
                </c:pt>
                <c:pt idx="3">
                  <c:v>4500</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14000</c:v>
                </c:pt>
                <c:pt idx="1">
                  <c:v>13000</c:v>
                </c:pt>
                <c:pt idx="2">
                  <c:v>13500</c:v>
                </c:pt>
                <c:pt idx="3">
                  <c:v>13600</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15000</c:v>
                </c:pt>
                <c:pt idx="1">
                  <c:v>16000</c:v>
                </c:pt>
                <c:pt idx="2">
                  <c:v>17000</c:v>
                </c:pt>
                <c:pt idx="3">
                  <c:v>18100</c:v>
                </c:pt>
              </c:numCache>
            </c:numRef>
          </c:val>
          <c:smooth val="0"/>
        </c:ser>
        <c:dLbls>
          <c:showLegendKey val="0"/>
          <c:showVal val="0"/>
          <c:showCatName val="0"/>
          <c:showSerName val="0"/>
          <c:showPercent val="0"/>
          <c:showBubbleSize val="0"/>
        </c:dLbls>
        <c:marker val="0"/>
        <c:smooth val="0"/>
        <c:axId val="242767784"/>
        <c:axId val="706091256"/>
      </c:lineChart>
      <c:catAx>
        <c:axId val="242767784"/>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06091256"/>
        <c:crosses val="autoZero"/>
        <c:auto val="1"/>
        <c:lblAlgn val="ctr"/>
        <c:lblOffset val="100"/>
        <c:noMultiLvlLbl val="0"/>
      </c:catAx>
      <c:valAx>
        <c:axId val="706091256"/>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24276778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5000</c:v>
                </c:pt>
                <c:pt idx="1">
                  <c:v>3000</c:v>
                </c:pt>
                <c:pt idx="2">
                  <c:v>3500</c:v>
                </c:pt>
                <c:pt idx="3">
                  <c:v>2000</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14297</c:v>
                </c:pt>
                <c:pt idx="1">
                  <c:v>13643</c:v>
                </c:pt>
                <c:pt idx="2">
                  <c:v>13500</c:v>
                </c:pt>
                <c:pt idx="3">
                  <c:v>12000</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19297</c:v>
                </c:pt>
                <c:pt idx="1">
                  <c:v>16643</c:v>
                </c:pt>
                <c:pt idx="2">
                  <c:v>17000</c:v>
                </c:pt>
                <c:pt idx="3">
                  <c:v>14000</c:v>
                </c:pt>
              </c:numCache>
            </c:numRef>
          </c:val>
          <c:smooth val="0"/>
        </c:ser>
        <c:dLbls>
          <c:showLegendKey val="0"/>
          <c:showVal val="0"/>
          <c:showCatName val="0"/>
          <c:showSerName val="0"/>
          <c:showPercent val="0"/>
          <c:showBubbleSize val="0"/>
        </c:dLbls>
        <c:marker val="0"/>
        <c:smooth val="0"/>
        <c:axId val="790985280"/>
        <c:axId val="790985672"/>
      </c:lineChart>
      <c:catAx>
        <c:axId val="790985280"/>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90985672"/>
        <c:crosses val="autoZero"/>
        <c:auto val="1"/>
        <c:lblAlgn val="ctr"/>
        <c:lblOffset val="100"/>
        <c:noMultiLvlLbl val="0"/>
      </c:catAx>
      <c:valAx>
        <c:axId val="790985672"/>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909852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工作表.xls]Sheet1'!$C$25</c:f>
              <c:strCache>
                <c:ptCount val="1"/>
                <c:pt idx="0">
                  <c:v>化石燃料燃烧排放量（tCO2）</c:v>
                </c:pt>
              </c:strCache>
            </c:strRef>
          </c:tx>
          <c:spPr>
            <a:ln w="28575" cap="rnd" cmpd="sng" algn="ctr">
              <a:solidFill>
                <a:srgbClr val="4F81BD"/>
              </a:solidFill>
              <a:prstDash val="solid"/>
              <a:round/>
            </a:ln>
            <a:effectLst/>
          </c:spPr>
          <c:marker>
            <c:symbol val="none"/>
          </c:marker>
          <c:dLbls>
            <c:delete val="1"/>
          </c:dLbls>
          <c:cat>
            <c:numRef>
              <c:f>'[新建 XLS 工作表.xls]Sheet1'!$B$26:$B$29</c:f>
              <c:numCache>
                <c:formatCode>General</c:formatCode>
                <c:ptCount val="4"/>
                <c:pt idx="0">
                  <c:v>2016</c:v>
                </c:pt>
                <c:pt idx="1">
                  <c:v>2017</c:v>
                </c:pt>
                <c:pt idx="2">
                  <c:v>2018</c:v>
                </c:pt>
                <c:pt idx="3">
                  <c:v>2019</c:v>
                </c:pt>
              </c:numCache>
            </c:numRef>
          </c:cat>
          <c:val>
            <c:numRef>
              <c:f>'[新建 XLS 工作表.xls]Sheet1'!$C$26:$C$29</c:f>
              <c:numCache>
                <c:formatCode>0.00_ </c:formatCode>
                <c:ptCount val="4"/>
                <c:pt idx="0">
                  <c:v>29000</c:v>
                </c:pt>
                <c:pt idx="1">
                  <c:v>29800</c:v>
                </c:pt>
                <c:pt idx="2">
                  <c:v>30200</c:v>
                </c:pt>
                <c:pt idx="3">
                  <c:v>34000</c:v>
                </c:pt>
              </c:numCache>
            </c:numRef>
          </c:val>
          <c:smooth val="0"/>
        </c:ser>
        <c:ser>
          <c:idx val="1"/>
          <c:order val="1"/>
          <c:tx>
            <c:strRef>
              <c:f>'[新建 XLS 工作表.xls]Sheet1'!$F$25</c:f>
              <c:strCache>
                <c:ptCount val="1"/>
                <c:pt idx="0">
                  <c:v> 过程排放量（tCO2）</c:v>
                </c:pt>
              </c:strCache>
            </c:strRef>
          </c:tx>
          <c:spPr>
            <a:ln w="28575" cap="rnd" cmpd="sng" algn="ctr">
              <a:solidFill>
                <a:srgbClr val="7030A0"/>
              </a:solidFill>
              <a:prstDash val="solid"/>
              <a:round/>
            </a:ln>
            <a:effectLst/>
          </c:spPr>
          <c:marker>
            <c:symbol val="none"/>
          </c:marker>
          <c:dLbls>
            <c:delete val="1"/>
          </c:dLbls>
          <c:cat>
            <c:numRef>
              <c:f>'[新建 XLS 工作表.xls]Sheet1'!$B$26:$B$29</c:f>
              <c:numCache>
                <c:formatCode>General</c:formatCode>
                <c:ptCount val="4"/>
                <c:pt idx="0">
                  <c:v>2016</c:v>
                </c:pt>
                <c:pt idx="1">
                  <c:v>2017</c:v>
                </c:pt>
                <c:pt idx="2">
                  <c:v>2018</c:v>
                </c:pt>
                <c:pt idx="3">
                  <c:v>2019</c:v>
                </c:pt>
              </c:numCache>
            </c:numRef>
          </c:cat>
          <c:val>
            <c:numRef>
              <c:f>'[新建 XLS 工作表.xls]Sheet1'!$F$26:$F$29</c:f>
              <c:numCache>
                <c:formatCode>0.00_ </c:formatCode>
                <c:ptCount val="4"/>
                <c:pt idx="0">
                  <c:v>4</c:v>
                </c:pt>
                <c:pt idx="1">
                  <c:v>5</c:v>
                </c:pt>
                <c:pt idx="2">
                  <c:v>12</c:v>
                </c:pt>
                <c:pt idx="3">
                  <c:v>20</c:v>
                </c:pt>
              </c:numCache>
            </c:numRef>
          </c:val>
          <c:smooth val="0"/>
        </c:ser>
        <c:ser>
          <c:idx val="2"/>
          <c:order val="2"/>
          <c:tx>
            <c:strRef>
              <c:f>'[新建 XLS 工作表.xls]Sheet1'!$D$25</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工作表.xls]Sheet1'!$B$26:$B$29</c:f>
              <c:numCache>
                <c:formatCode>General</c:formatCode>
                <c:ptCount val="4"/>
                <c:pt idx="0">
                  <c:v>2016</c:v>
                </c:pt>
                <c:pt idx="1">
                  <c:v>2017</c:v>
                </c:pt>
                <c:pt idx="2">
                  <c:v>2018</c:v>
                </c:pt>
                <c:pt idx="3">
                  <c:v>2019</c:v>
                </c:pt>
              </c:numCache>
            </c:numRef>
          </c:cat>
          <c:val>
            <c:numRef>
              <c:f>'[新建 XLS 工作表.xls]Sheet1'!$D$26:$D$29</c:f>
              <c:numCache>
                <c:formatCode>General</c:formatCode>
                <c:ptCount val="4"/>
                <c:pt idx="0">
                  <c:v>900</c:v>
                </c:pt>
                <c:pt idx="1">
                  <c:v>1000</c:v>
                </c:pt>
                <c:pt idx="2">
                  <c:v>1100</c:v>
                </c:pt>
                <c:pt idx="3">
                  <c:v>1300</c:v>
                </c:pt>
              </c:numCache>
            </c:numRef>
          </c:val>
          <c:smooth val="0"/>
        </c:ser>
        <c:ser>
          <c:idx val="3"/>
          <c:order val="3"/>
          <c:tx>
            <c:strRef>
              <c:f>'[新建 XLS 工作表.xls]Sheet1'!$E$25</c:f>
              <c:strCache>
                <c:ptCount val="1"/>
                <c:pt idx="0">
                  <c:v> 排放总量（tCO2）</c:v>
                </c:pt>
              </c:strCache>
            </c:strRef>
          </c:tx>
          <c:spPr>
            <a:ln w="28575" cap="rnd" cmpd="sng" algn="ctr">
              <a:solidFill>
                <a:srgbClr val="9BBB59"/>
              </a:solidFill>
              <a:prstDash val="solid"/>
              <a:round/>
            </a:ln>
            <a:effectLst/>
          </c:spPr>
          <c:marker>
            <c:symbol val="none"/>
          </c:marker>
          <c:dLbls>
            <c:delete val="1"/>
          </c:dLbls>
          <c:cat>
            <c:numRef>
              <c:f>'[新建 XLS 工作表.xls]Sheet1'!$B$26:$B$29</c:f>
              <c:numCache>
                <c:formatCode>General</c:formatCode>
                <c:ptCount val="4"/>
                <c:pt idx="0">
                  <c:v>2016</c:v>
                </c:pt>
                <c:pt idx="1">
                  <c:v>2017</c:v>
                </c:pt>
                <c:pt idx="2">
                  <c:v>2018</c:v>
                </c:pt>
                <c:pt idx="3">
                  <c:v>2019</c:v>
                </c:pt>
              </c:numCache>
            </c:numRef>
          </c:cat>
          <c:val>
            <c:numRef>
              <c:f>'[新建 XLS 工作表.xls]Sheet1'!$E$26:$E$29</c:f>
              <c:numCache>
                <c:formatCode>0.00_ </c:formatCode>
                <c:ptCount val="4"/>
                <c:pt idx="0">
                  <c:v>29904</c:v>
                </c:pt>
                <c:pt idx="1">
                  <c:v>30805</c:v>
                </c:pt>
                <c:pt idx="2">
                  <c:v>31312</c:v>
                </c:pt>
                <c:pt idx="3">
                  <c:v>35320</c:v>
                </c:pt>
              </c:numCache>
            </c:numRef>
          </c:val>
          <c:smooth val="0"/>
        </c:ser>
        <c:dLbls>
          <c:showLegendKey val="0"/>
          <c:showVal val="0"/>
          <c:showCatName val="0"/>
          <c:showSerName val="0"/>
          <c:showPercent val="0"/>
          <c:showBubbleSize val="0"/>
        </c:dLbls>
        <c:marker val="0"/>
        <c:smooth val="0"/>
        <c:axId val="709902480"/>
        <c:axId val="783126056"/>
      </c:lineChart>
      <c:catAx>
        <c:axId val="709902480"/>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83126056"/>
        <c:crosses val="autoZero"/>
        <c:auto val="1"/>
        <c:lblAlgn val="ctr"/>
        <c:lblOffset val="100"/>
        <c:noMultiLvlLbl val="0"/>
      </c:catAx>
      <c:valAx>
        <c:axId val="783126056"/>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0.00_ "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09902480"/>
        <c:crosses val="autoZero"/>
        <c:crossBetween val="between"/>
      </c:valAx>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gap"/>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8100</c:v>
                </c:pt>
                <c:pt idx="1">
                  <c:v>10125</c:v>
                </c:pt>
                <c:pt idx="2">
                  <c:v>10952.42</c:v>
                </c:pt>
                <c:pt idx="3">
                  <c:v>10616.72</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1145500</c:v>
                </c:pt>
                <c:pt idx="1">
                  <c:v>1152750</c:v>
                </c:pt>
                <c:pt idx="2">
                  <c:v>1163737.64</c:v>
                </c:pt>
                <c:pt idx="3">
                  <c:v>1192094.66</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1153600</c:v>
                </c:pt>
                <c:pt idx="1">
                  <c:v>1162875</c:v>
                </c:pt>
                <c:pt idx="2">
                  <c:v>1174690.05</c:v>
                </c:pt>
                <c:pt idx="3">
                  <c:v>1202711.39</c:v>
                </c:pt>
              </c:numCache>
            </c:numRef>
          </c:val>
          <c:smooth val="0"/>
        </c:ser>
        <c:dLbls>
          <c:showLegendKey val="0"/>
          <c:showVal val="0"/>
          <c:showCatName val="0"/>
          <c:showSerName val="0"/>
          <c:showPercent val="0"/>
          <c:showBubbleSize val="0"/>
        </c:dLbls>
        <c:marker val="0"/>
        <c:smooth val="0"/>
        <c:axId val="783126840"/>
        <c:axId val="783127232"/>
      </c:lineChart>
      <c:catAx>
        <c:axId val="783126840"/>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83127232"/>
        <c:crosses val="autoZero"/>
        <c:auto val="1"/>
        <c:lblAlgn val="ctr"/>
        <c:lblOffset val="100"/>
        <c:noMultiLvlLbl val="0"/>
      </c:catAx>
      <c:valAx>
        <c:axId val="783127232"/>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8312684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0</c:v>
                </c:pt>
                <c:pt idx="1">
                  <c:v>0</c:v>
                </c:pt>
                <c:pt idx="2">
                  <c:v>0</c:v>
                </c:pt>
                <c:pt idx="3">
                  <c:v>0</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8248.15</c:v>
                </c:pt>
                <c:pt idx="1">
                  <c:v>8683.15</c:v>
                </c:pt>
                <c:pt idx="2">
                  <c:v>10252.96</c:v>
                </c:pt>
                <c:pt idx="3">
                  <c:v>15256.41</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8248.15</c:v>
                </c:pt>
                <c:pt idx="1">
                  <c:v>8683.15</c:v>
                </c:pt>
                <c:pt idx="2">
                  <c:v>10252.96</c:v>
                </c:pt>
                <c:pt idx="3">
                  <c:v>15256.41</c:v>
                </c:pt>
              </c:numCache>
            </c:numRef>
          </c:val>
          <c:smooth val="0"/>
        </c:ser>
        <c:dLbls>
          <c:showLegendKey val="0"/>
          <c:showVal val="0"/>
          <c:showCatName val="0"/>
          <c:showSerName val="0"/>
          <c:showPercent val="0"/>
          <c:showBubbleSize val="0"/>
        </c:dLbls>
        <c:marker val="0"/>
        <c:smooth val="0"/>
        <c:axId val="788207456"/>
        <c:axId val="788207848"/>
      </c:lineChart>
      <c:catAx>
        <c:axId val="788207456"/>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88207848"/>
        <c:crosses val="autoZero"/>
        <c:auto val="1"/>
        <c:lblAlgn val="ctr"/>
        <c:lblOffset val="100"/>
        <c:noMultiLvlLbl val="0"/>
      </c:catAx>
      <c:valAx>
        <c:axId val="788207848"/>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8820745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'[新建 XLS 工作表.xls]Sheet1'!$D$53</c:f>
              <c:strCache>
                <c:ptCount val="1"/>
                <c:pt idx="0">
                  <c:v>直接排放量（tCO2）</c:v>
                </c:pt>
              </c:strCache>
            </c:strRef>
          </c:tx>
          <c:spPr>
            <a:ln w="28575" cap="rnd" cmpd="sng" algn="ctr">
              <a:solidFill>
                <a:srgbClr val="4F81B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工作表.xls]Sheet1'!$D$54:$D$57</c:f>
              <c:numCache>
                <c:formatCode>General</c:formatCode>
                <c:ptCount val="4"/>
                <c:pt idx="0">
                  <c:v>810</c:v>
                </c:pt>
                <c:pt idx="1">
                  <c:v>830.25</c:v>
                </c:pt>
                <c:pt idx="2">
                  <c:v>983.349999999999</c:v>
                </c:pt>
                <c:pt idx="3">
                  <c:v>950.56</c:v>
                </c:pt>
              </c:numCache>
            </c:numRef>
          </c:val>
          <c:smooth val="0"/>
        </c:ser>
        <c:ser>
          <c:idx val="1"/>
          <c:order val="1"/>
          <c:tx>
            <c:strRef>
              <c:f>'[新建 XLS 工作表.xls]Sheet1'!$E$53</c:f>
              <c:strCache>
                <c:ptCount val="1"/>
                <c:pt idx="0">
                  <c:v>间接排放量（tCO2）</c:v>
                </c:pt>
              </c:strCache>
            </c:strRef>
          </c:tx>
          <c:spPr>
            <a:ln w="28575" cap="rnd" cmpd="sng" algn="ctr">
              <a:solidFill>
                <a:srgbClr val="C0504D"/>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工作表.xls]Sheet1'!$E$54:$E$57</c:f>
              <c:numCache>
                <c:formatCode>General</c:formatCode>
                <c:ptCount val="4"/>
                <c:pt idx="0">
                  <c:v>22067.8</c:v>
                </c:pt>
                <c:pt idx="1">
                  <c:v>22357.8</c:v>
                </c:pt>
                <c:pt idx="2">
                  <c:v>22647.8</c:v>
                </c:pt>
                <c:pt idx="3">
                  <c:v>24628.5</c:v>
                </c:pt>
              </c:numCache>
            </c:numRef>
          </c:val>
          <c:smooth val="0"/>
        </c:ser>
        <c:ser>
          <c:idx val="2"/>
          <c:order val="2"/>
          <c:tx>
            <c:strRef>
              <c:f>'[新建 XLS 工作表.xls]Sheet1'!$F$53</c:f>
              <c:strCache>
                <c:ptCount val="1"/>
                <c:pt idx="0">
                  <c:v>排放总量（tCO2）</c:v>
                </c:pt>
              </c:strCache>
            </c:strRef>
          </c:tx>
          <c:spPr>
            <a:ln w="28575" cap="rnd" cmpd="sng" algn="ctr">
              <a:solidFill>
                <a:srgbClr val="9BBB59"/>
              </a:solidFill>
              <a:prstDash val="solid"/>
              <a:round/>
            </a:ln>
            <a:effectLst/>
          </c:spPr>
          <c:marker>
            <c:symbol val="none"/>
          </c:marker>
          <c:dLbls>
            <c:delete val="1"/>
          </c:dLbls>
          <c:cat>
            <c:numRef>
              <c:f>'[新建 XLS 工作表.xls]Sheet1'!$C$54:$C$57</c:f>
              <c:numCache>
                <c:formatCode>General</c:formatCode>
                <c:ptCount val="4"/>
                <c:pt idx="0">
                  <c:v>2016</c:v>
                </c:pt>
                <c:pt idx="1">
                  <c:v>2017</c:v>
                </c:pt>
                <c:pt idx="2">
                  <c:v>2018</c:v>
                </c:pt>
                <c:pt idx="3">
                  <c:v>2019</c:v>
                </c:pt>
              </c:numCache>
            </c:numRef>
          </c:cat>
          <c:val>
            <c:numRef>
              <c:f>'[新建 XLS 工作表.xls]Sheet1'!$F$54:$F$57</c:f>
              <c:numCache>
                <c:formatCode>General</c:formatCode>
                <c:ptCount val="4"/>
                <c:pt idx="0">
                  <c:v>22877.8</c:v>
                </c:pt>
                <c:pt idx="1">
                  <c:v>23188.05</c:v>
                </c:pt>
                <c:pt idx="2">
                  <c:v>23631.15</c:v>
                </c:pt>
                <c:pt idx="3">
                  <c:v>25579.06</c:v>
                </c:pt>
              </c:numCache>
            </c:numRef>
          </c:val>
          <c:smooth val="0"/>
        </c:ser>
        <c:dLbls>
          <c:showLegendKey val="0"/>
          <c:showVal val="0"/>
          <c:showCatName val="0"/>
          <c:showSerName val="0"/>
          <c:showPercent val="0"/>
          <c:showBubbleSize val="0"/>
        </c:dLbls>
        <c:marker val="0"/>
        <c:smooth val="0"/>
        <c:axId val="788208632"/>
        <c:axId val="788209024"/>
      </c:lineChart>
      <c:catAx>
        <c:axId val="788208632"/>
        <c:scaling>
          <c:orientation val="minMax"/>
        </c:scaling>
        <c:delete val="0"/>
        <c:axPos val="b"/>
        <c:numFmt formatCode="General" sourceLinked="0"/>
        <c:majorTickMark val="none"/>
        <c:minorTickMark val="none"/>
        <c:tickLblPos val="nextTo"/>
        <c:spPr>
          <a:noFill/>
          <a:ln w="9525" cap="flat" cmpd="sng" algn="ctr">
            <a:solidFill>
              <a:srgbClr val="D9D9D9">
                <a:lumMod val="15000"/>
                <a:lumOff val="85000"/>
              </a:srgbClr>
            </a:solid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88209024"/>
        <c:crosses val="autoZero"/>
        <c:auto val="1"/>
        <c:lblAlgn val="ctr"/>
        <c:lblOffset val="100"/>
        <c:noMultiLvlLbl val="0"/>
      </c:catAx>
      <c:valAx>
        <c:axId val="788209024"/>
        <c:scaling>
          <c:orientation val="minMax"/>
        </c:scaling>
        <c:delete val="0"/>
        <c:axPos val="l"/>
        <c:majorGridlines>
          <c:spPr>
            <a:ln w="9525" cap="flat" cmpd="sng" algn="ctr">
              <a:solidFill>
                <a:srgbClr val="D9D9D9">
                  <a:lumMod val="15000"/>
                  <a:lumOff val="85000"/>
                </a:srgb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78820863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legend>
    <c:plotVisOnly val="1"/>
    <c:dispBlanksAs val="zero"/>
    <c:showDLblsOverMax val="0"/>
  </c:chart>
  <c:spPr>
    <a:solidFill>
      <a:srgbClr val="FFFFFF"/>
    </a:solidFill>
    <a:ln w="9525" cap="flat" cmpd="sng" algn="ctr">
      <a:solidFill>
        <a:srgbClr val="D9D9D9">
          <a:lumMod val="15000"/>
          <a:lumOff val="85000"/>
        </a:srgbClr>
      </a:solidFill>
      <a:prstDash val="solid"/>
      <a:round/>
    </a:ln>
    <a:effectLst/>
  </c:spPr>
  <c:txPr>
    <a:bodyPr wrap="square"/>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49" textRotate="1"/>
    <customShpInfo spid="_x0000_s2050" textRotate="1"/>
    <customShpInfo spid="_x0000_s2056" textRotate="1"/>
    <customShpInfo spid="_x0000_s2057" textRotate="1"/>
    <customShpInfo spid="_x0000_s2054" textRotate="1"/>
    <customShpInfo spid="_x0000_s2055" textRotate="1"/>
    <customShpInfo spid="_x0000_s2058" textRotate="1"/>
    <customShpInfo spid="_x0000_s2059" textRotate="1"/>
    <customShpInfo spid="_x0000_s2060" textRotate="1"/>
    <customShpInfo spid="_x0000_s2061" textRotate="1"/>
    <customShpInfo spid="_x0000_s2052" textRotate="1"/>
    <customShpInfo spid="_x0000_s205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4B560D-8390-4A19-99A6-3919144291A4}">
  <ds:schemaRefs/>
</ds:datastoreItem>
</file>

<file path=docProps/app.xml><?xml version="1.0" encoding="utf-8"?>
<Properties xmlns="http://schemas.openxmlformats.org/officeDocument/2006/extended-properties" xmlns:vt="http://schemas.openxmlformats.org/officeDocument/2006/docPropsVTypes">
  <Template>Normal.dotm</Template>
  <Pages>102</Pages>
  <Words>36329</Words>
  <Characters>40811</Characters>
  <Lines>314</Lines>
  <Paragraphs>88</Paragraphs>
  <TotalTime>7</TotalTime>
  <ScaleCrop>false</ScaleCrop>
  <LinksUpToDate>false</LinksUpToDate>
  <CharactersWithSpaces>41285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2020-03-02T07:21:00Z</dcterms:created>
  <dc:creator>RW</dc:creator>
  <cp:lastModifiedBy>刘海英</cp:lastModifiedBy>
  <cp:lastPrinted>2015-12-25T08:13:00Z</cp:lastPrinted>
  <dcterms:modified xsi:type="dcterms:W3CDTF">2022-04-28T08:00:23Z</dcterms:modified>
  <dc:title>北京市碳排放权交易核查机构</dc:title>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769BB531D8B749EAAC7AAD76EBAD50C8</vt:lpwstr>
  </property>
</Properties>
</file>